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457A8" w14:textId="7279B453" w:rsidR="00451DBE" w:rsidRPr="00EC2CEE" w:rsidRDefault="00FC5FE4" w:rsidP="00FC5FE4">
      <w:pPr>
        <w:spacing w:before="120"/>
        <w:rPr>
          <w:rFonts w:cs="Times New Roman"/>
          <w:sz w:val="32"/>
          <w:szCs w:val="32"/>
        </w:rPr>
      </w:pPr>
      <w:r w:rsidRPr="00EC2CEE">
        <w:rPr>
          <w:sz w:val="32"/>
          <w:szCs w:val="32"/>
        </w:rPr>
        <w:t>OPC 5019-1 – Politique du Collège militaire royal du Canada sur l</w:t>
      </w:r>
      <w:r w:rsidR="00180A75" w:rsidRPr="00EC2CEE">
        <w:rPr>
          <w:sz w:val="32"/>
          <w:szCs w:val="32"/>
        </w:rPr>
        <w:t>’</w:t>
      </w:r>
      <w:r w:rsidRPr="00EC2CEE">
        <w:rPr>
          <w:sz w:val="32"/>
          <w:szCs w:val="32"/>
        </w:rPr>
        <w:t>inconduite sexuelle</w:t>
      </w:r>
    </w:p>
    <w:sdt>
      <w:sdtPr>
        <w:rPr>
          <w:rFonts w:eastAsiaTheme="minorHAnsi" w:cstheme="minorBidi"/>
          <w:color w:val="auto"/>
          <w:sz w:val="24"/>
          <w:szCs w:val="22"/>
        </w:rPr>
        <w:id w:val="-386494030"/>
        <w:docPartObj>
          <w:docPartGallery w:val="Table of Contents"/>
          <w:docPartUnique/>
        </w:docPartObj>
      </w:sdtPr>
      <w:sdtEndPr>
        <w:rPr>
          <w:b/>
          <w:bCs/>
          <w:noProof/>
        </w:rPr>
      </w:sdtEndPr>
      <w:sdtContent>
        <w:p w14:paraId="17A39669" w14:textId="77777777" w:rsidR="00FC5FE4" w:rsidRPr="00EC2CEE" w:rsidRDefault="00FC5FE4" w:rsidP="00FC5FE4">
          <w:pPr>
            <w:pStyle w:val="TOCHeading"/>
            <w:spacing w:after="240"/>
            <w:rPr>
              <w:rFonts w:cs="Times New Roman"/>
              <w:color w:val="auto"/>
            </w:rPr>
          </w:pPr>
          <w:r w:rsidRPr="00EC2CEE">
            <w:rPr>
              <w:color w:val="auto"/>
            </w:rPr>
            <w:t>Table des matières</w:t>
          </w:r>
        </w:p>
        <w:p w14:paraId="3671947A" w14:textId="153AB36D" w:rsidR="00E67042" w:rsidRDefault="00FC5FE4">
          <w:pPr>
            <w:pStyle w:val="TOC1"/>
            <w:tabs>
              <w:tab w:val="left" w:pos="480"/>
              <w:tab w:val="right" w:leader="dot" w:pos="9350"/>
            </w:tabs>
            <w:rPr>
              <w:rFonts w:asciiTheme="minorHAnsi" w:eastAsiaTheme="minorEastAsia" w:hAnsiTheme="minorHAnsi"/>
              <w:noProof/>
              <w:kern w:val="2"/>
              <w:szCs w:val="24"/>
              <w:lang w:eastAsia="fr-CA"/>
              <w14:ligatures w14:val="standardContextual"/>
            </w:rPr>
          </w:pPr>
          <w:r w:rsidRPr="00EC2CEE">
            <w:fldChar w:fldCharType="begin"/>
          </w:r>
          <w:r w:rsidRPr="00EC2CEE">
            <w:instrText xml:space="preserve"> TOC \o "1-3" \h \z \u </w:instrText>
          </w:r>
          <w:r w:rsidRPr="00EC2CEE">
            <w:fldChar w:fldCharType="separate"/>
          </w:r>
          <w:hyperlink w:anchor="_Toc201921570" w:history="1">
            <w:r w:rsidR="00E67042" w:rsidRPr="00BE55C7">
              <w:rPr>
                <w:rStyle w:val="Hyperlink"/>
                <w:noProof/>
              </w:rPr>
              <w:t>1.</w:t>
            </w:r>
            <w:r w:rsidR="00E67042">
              <w:rPr>
                <w:rFonts w:asciiTheme="minorHAnsi" w:eastAsiaTheme="minorEastAsia" w:hAnsiTheme="minorHAnsi"/>
                <w:noProof/>
                <w:kern w:val="2"/>
                <w:szCs w:val="24"/>
                <w:lang w:eastAsia="fr-CA"/>
                <w14:ligatures w14:val="standardContextual"/>
              </w:rPr>
              <w:tab/>
            </w:r>
            <w:r w:rsidR="00E67042" w:rsidRPr="00BE55C7">
              <w:rPr>
                <w:rStyle w:val="Hyperlink"/>
                <w:noProof/>
              </w:rPr>
              <w:t>Renseignements généraux</w:t>
            </w:r>
            <w:r w:rsidR="00E67042">
              <w:rPr>
                <w:noProof/>
                <w:webHidden/>
              </w:rPr>
              <w:tab/>
            </w:r>
            <w:r w:rsidR="00E67042">
              <w:rPr>
                <w:noProof/>
                <w:webHidden/>
              </w:rPr>
              <w:fldChar w:fldCharType="begin"/>
            </w:r>
            <w:r w:rsidR="00E67042">
              <w:rPr>
                <w:noProof/>
                <w:webHidden/>
              </w:rPr>
              <w:instrText xml:space="preserve"> PAGEREF _Toc201921570 \h </w:instrText>
            </w:r>
            <w:r w:rsidR="00E67042">
              <w:rPr>
                <w:noProof/>
                <w:webHidden/>
              </w:rPr>
            </w:r>
            <w:r w:rsidR="00E67042">
              <w:rPr>
                <w:noProof/>
                <w:webHidden/>
              </w:rPr>
              <w:fldChar w:fldCharType="separate"/>
            </w:r>
            <w:r w:rsidR="00E67042">
              <w:rPr>
                <w:noProof/>
                <w:webHidden/>
              </w:rPr>
              <w:t>1</w:t>
            </w:r>
            <w:r w:rsidR="00E67042">
              <w:rPr>
                <w:noProof/>
                <w:webHidden/>
              </w:rPr>
              <w:fldChar w:fldCharType="end"/>
            </w:r>
          </w:hyperlink>
        </w:p>
        <w:p w14:paraId="3E59D8F9" w14:textId="0220DB7A" w:rsidR="00E67042" w:rsidRDefault="00E67042">
          <w:pPr>
            <w:pStyle w:val="TOC1"/>
            <w:tabs>
              <w:tab w:val="left" w:pos="480"/>
              <w:tab w:val="right" w:leader="dot" w:pos="9350"/>
            </w:tabs>
            <w:rPr>
              <w:rFonts w:asciiTheme="minorHAnsi" w:eastAsiaTheme="minorEastAsia" w:hAnsiTheme="minorHAnsi"/>
              <w:noProof/>
              <w:kern w:val="2"/>
              <w:szCs w:val="24"/>
              <w:lang w:eastAsia="fr-CA"/>
              <w14:ligatures w14:val="standardContextual"/>
            </w:rPr>
          </w:pPr>
          <w:hyperlink w:anchor="_Toc201921571" w:history="1">
            <w:r w:rsidRPr="00BE55C7">
              <w:rPr>
                <w:rStyle w:val="Hyperlink"/>
                <w:noProof/>
              </w:rPr>
              <w:t>2.</w:t>
            </w:r>
            <w:r>
              <w:rPr>
                <w:rFonts w:asciiTheme="minorHAnsi" w:eastAsiaTheme="minorEastAsia" w:hAnsiTheme="minorHAnsi"/>
                <w:noProof/>
                <w:kern w:val="2"/>
                <w:szCs w:val="24"/>
                <w:lang w:eastAsia="fr-CA"/>
                <w14:ligatures w14:val="standardContextual"/>
              </w:rPr>
              <w:tab/>
            </w:r>
            <w:r w:rsidRPr="00BE55C7">
              <w:rPr>
                <w:rStyle w:val="Hyperlink"/>
                <w:noProof/>
              </w:rPr>
              <w:t>Définitions</w:t>
            </w:r>
            <w:r>
              <w:rPr>
                <w:noProof/>
                <w:webHidden/>
              </w:rPr>
              <w:tab/>
            </w:r>
            <w:r>
              <w:rPr>
                <w:noProof/>
                <w:webHidden/>
              </w:rPr>
              <w:fldChar w:fldCharType="begin"/>
            </w:r>
            <w:r>
              <w:rPr>
                <w:noProof/>
                <w:webHidden/>
              </w:rPr>
              <w:instrText xml:space="preserve"> PAGEREF _Toc201921571 \h </w:instrText>
            </w:r>
            <w:r>
              <w:rPr>
                <w:noProof/>
                <w:webHidden/>
              </w:rPr>
            </w:r>
            <w:r>
              <w:rPr>
                <w:noProof/>
                <w:webHidden/>
              </w:rPr>
              <w:fldChar w:fldCharType="separate"/>
            </w:r>
            <w:r>
              <w:rPr>
                <w:noProof/>
                <w:webHidden/>
              </w:rPr>
              <w:t>2</w:t>
            </w:r>
            <w:r>
              <w:rPr>
                <w:noProof/>
                <w:webHidden/>
              </w:rPr>
              <w:fldChar w:fldCharType="end"/>
            </w:r>
          </w:hyperlink>
        </w:p>
        <w:p w14:paraId="17E59B55" w14:textId="30E1D85B" w:rsidR="00E67042" w:rsidRDefault="00E67042">
          <w:pPr>
            <w:pStyle w:val="TOC1"/>
            <w:tabs>
              <w:tab w:val="left" w:pos="480"/>
              <w:tab w:val="right" w:leader="dot" w:pos="9350"/>
            </w:tabs>
            <w:rPr>
              <w:rFonts w:asciiTheme="minorHAnsi" w:eastAsiaTheme="minorEastAsia" w:hAnsiTheme="minorHAnsi"/>
              <w:noProof/>
              <w:kern w:val="2"/>
              <w:szCs w:val="24"/>
              <w:lang w:eastAsia="fr-CA"/>
              <w14:ligatures w14:val="standardContextual"/>
            </w:rPr>
          </w:pPr>
          <w:hyperlink w:anchor="_Toc201921572" w:history="1">
            <w:r w:rsidRPr="00BE55C7">
              <w:rPr>
                <w:rStyle w:val="Hyperlink"/>
                <w:noProof/>
              </w:rPr>
              <w:t>3.</w:t>
            </w:r>
            <w:r>
              <w:rPr>
                <w:rFonts w:asciiTheme="minorHAnsi" w:eastAsiaTheme="minorEastAsia" w:hAnsiTheme="minorHAnsi"/>
                <w:noProof/>
                <w:kern w:val="2"/>
                <w:szCs w:val="24"/>
                <w:lang w:eastAsia="fr-CA"/>
                <w14:ligatures w14:val="standardContextual"/>
              </w:rPr>
              <w:tab/>
            </w:r>
            <w:r w:rsidRPr="00BE55C7">
              <w:rPr>
                <w:rStyle w:val="Hyperlink"/>
                <w:noProof/>
              </w:rPr>
              <w:t>Énoncé de politique/but</w:t>
            </w:r>
            <w:r>
              <w:rPr>
                <w:noProof/>
                <w:webHidden/>
              </w:rPr>
              <w:tab/>
            </w:r>
            <w:r>
              <w:rPr>
                <w:noProof/>
                <w:webHidden/>
              </w:rPr>
              <w:fldChar w:fldCharType="begin"/>
            </w:r>
            <w:r>
              <w:rPr>
                <w:noProof/>
                <w:webHidden/>
              </w:rPr>
              <w:instrText xml:space="preserve"> PAGEREF _Toc201921572 \h </w:instrText>
            </w:r>
            <w:r>
              <w:rPr>
                <w:noProof/>
                <w:webHidden/>
              </w:rPr>
            </w:r>
            <w:r>
              <w:rPr>
                <w:noProof/>
                <w:webHidden/>
              </w:rPr>
              <w:fldChar w:fldCharType="separate"/>
            </w:r>
            <w:r>
              <w:rPr>
                <w:noProof/>
                <w:webHidden/>
              </w:rPr>
              <w:t>7</w:t>
            </w:r>
            <w:r>
              <w:rPr>
                <w:noProof/>
                <w:webHidden/>
              </w:rPr>
              <w:fldChar w:fldCharType="end"/>
            </w:r>
          </w:hyperlink>
        </w:p>
        <w:p w14:paraId="5E84BB4F" w14:textId="1BC92134" w:rsidR="00E67042" w:rsidRDefault="00E67042">
          <w:pPr>
            <w:pStyle w:val="TOC1"/>
            <w:tabs>
              <w:tab w:val="left" w:pos="480"/>
              <w:tab w:val="right" w:leader="dot" w:pos="9350"/>
            </w:tabs>
            <w:rPr>
              <w:rFonts w:asciiTheme="minorHAnsi" w:eastAsiaTheme="minorEastAsia" w:hAnsiTheme="minorHAnsi"/>
              <w:noProof/>
              <w:kern w:val="2"/>
              <w:szCs w:val="24"/>
              <w:lang w:eastAsia="fr-CA"/>
              <w14:ligatures w14:val="standardContextual"/>
            </w:rPr>
          </w:pPr>
          <w:hyperlink w:anchor="_Toc201921573" w:history="1">
            <w:r w:rsidRPr="00BE55C7">
              <w:rPr>
                <w:rStyle w:val="Hyperlink"/>
                <w:noProof/>
              </w:rPr>
              <w:t>4.</w:t>
            </w:r>
            <w:r>
              <w:rPr>
                <w:rFonts w:asciiTheme="minorHAnsi" w:eastAsiaTheme="minorEastAsia" w:hAnsiTheme="minorHAnsi"/>
                <w:noProof/>
                <w:kern w:val="2"/>
                <w:szCs w:val="24"/>
                <w:lang w:eastAsia="fr-CA"/>
                <w14:ligatures w14:val="standardContextual"/>
              </w:rPr>
              <w:tab/>
            </w:r>
            <w:r w:rsidRPr="00BE55C7">
              <w:rPr>
                <w:rStyle w:val="Hyperlink"/>
                <w:noProof/>
              </w:rPr>
              <w:t>Confidentialité</w:t>
            </w:r>
            <w:r>
              <w:rPr>
                <w:noProof/>
                <w:webHidden/>
              </w:rPr>
              <w:tab/>
            </w:r>
            <w:r>
              <w:rPr>
                <w:noProof/>
                <w:webHidden/>
              </w:rPr>
              <w:fldChar w:fldCharType="begin"/>
            </w:r>
            <w:r>
              <w:rPr>
                <w:noProof/>
                <w:webHidden/>
              </w:rPr>
              <w:instrText xml:space="preserve"> PAGEREF _Toc201921573 \h </w:instrText>
            </w:r>
            <w:r>
              <w:rPr>
                <w:noProof/>
                <w:webHidden/>
              </w:rPr>
            </w:r>
            <w:r>
              <w:rPr>
                <w:noProof/>
                <w:webHidden/>
              </w:rPr>
              <w:fldChar w:fldCharType="separate"/>
            </w:r>
            <w:r>
              <w:rPr>
                <w:noProof/>
                <w:webHidden/>
              </w:rPr>
              <w:t>9</w:t>
            </w:r>
            <w:r>
              <w:rPr>
                <w:noProof/>
                <w:webHidden/>
              </w:rPr>
              <w:fldChar w:fldCharType="end"/>
            </w:r>
          </w:hyperlink>
        </w:p>
        <w:p w14:paraId="25129EB7" w14:textId="43D57F62" w:rsidR="00E67042" w:rsidRDefault="00E67042">
          <w:pPr>
            <w:pStyle w:val="TOC1"/>
            <w:tabs>
              <w:tab w:val="left" w:pos="480"/>
              <w:tab w:val="right" w:leader="dot" w:pos="9350"/>
            </w:tabs>
            <w:rPr>
              <w:rFonts w:asciiTheme="minorHAnsi" w:eastAsiaTheme="minorEastAsia" w:hAnsiTheme="minorHAnsi"/>
              <w:noProof/>
              <w:kern w:val="2"/>
              <w:szCs w:val="24"/>
              <w:lang w:eastAsia="fr-CA"/>
              <w14:ligatures w14:val="standardContextual"/>
            </w:rPr>
          </w:pPr>
          <w:hyperlink w:anchor="_Toc201921574" w:history="1">
            <w:r w:rsidRPr="00BE55C7">
              <w:rPr>
                <w:rStyle w:val="Hyperlink"/>
                <w:noProof/>
              </w:rPr>
              <w:t>5.</w:t>
            </w:r>
            <w:r>
              <w:rPr>
                <w:rFonts w:asciiTheme="minorHAnsi" w:eastAsiaTheme="minorEastAsia" w:hAnsiTheme="minorHAnsi"/>
                <w:noProof/>
                <w:kern w:val="2"/>
                <w:szCs w:val="24"/>
                <w:lang w:eastAsia="fr-CA"/>
                <w14:ligatures w14:val="standardContextual"/>
              </w:rPr>
              <w:tab/>
            </w:r>
            <w:r w:rsidRPr="00BE55C7">
              <w:rPr>
                <w:rStyle w:val="Hyperlink"/>
                <w:noProof/>
              </w:rPr>
              <w:t>Divulgation et soutien</w:t>
            </w:r>
            <w:r>
              <w:rPr>
                <w:noProof/>
                <w:webHidden/>
              </w:rPr>
              <w:tab/>
            </w:r>
            <w:r>
              <w:rPr>
                <w:noProof/>
                <w:webHidden/>
              </w:rPr>
              <w:fldChar w:fldCharType="begin"/>
            </w:r>
            <w:r>
              <w:rPr>
                <w:noProof/>
                <w:webHidden/>
              </w:rPr>
              <w:instrText xml:space="preserve"> PAGEREF _Toc201921574 \h </w:instrText>
            </w:r>
            <w:r>
              <w:rPr>
                <w:noProof/>
                <w:webHidden/>
              </w:rPr>
            </w:r>
            <w:r>
              <w:rPr>
                <w:noProof/>
                <w:webHidden/>
              </w:rPr>
              <w:fldChar w:fldCharType="separate"/>
            </w:r>
            <w:r>
              <w:rPr>
                <w:noProof/>
                <w:webHidden/>
              </w:rPr>
              <w:t>10</w:t>
            </w:r>
            <w:r>
              <w:rPr>
                <w:noProof/>
                <w:webHidden/>
              </w:rPr>
              <w:fldChar w:fldCharType="end"/>
            </w:r>
          </w:hyperlink>
        </w:p>
        <w:p w14:paraId="565FA43A" w14:textId="74DDB00F" w:rsidR="00E67042" w:rsidRDefault="00E67042">
          <w:pPr>
            <w:pStyle w:val="TOC1"/>
            <w:tabs>
              <w:tab w:val="left" w:pos="480"/>
              <w:tab w:val="right" w:leader="dot" w:pos="9350"/>
            </w:tabs>
            <w:rPr>
              <w:rFonts w:asciiTheme="minorHAnsi" w:eastAsiaTheme="minorEastAsia" w:hAnsiTheme="minorHAnsi"/>
              <w:noProof/>
              <w:kern w:val="2"/>
              <w:szCs w:val="24"/>
              <w:lang w:eastAsia="fr-CA"/>
              <w14:ligatures w14:val="standardContextual"/>
            </w:rPr>
          </w:pPr>
          <w:hyperlink w:anchor="_Toc201921575" w:history="1">
            <w:r w:rsidRPr="00BE55C7">
              <w:rPr>
                <w:rStyle w:val="Hyperlink"/>
                <w:noProof/>
              </w:rPr>
              <w:t>6.</w:t>
            </w:r>
            <w:r>
              <w:rPr>
                <w:rFonts w:asciiTheme="minorHAnsi" w:eastAsiaTheme="minorEastAsia" w:hAnsiTheme="minorHAnsi"/>
                <w:noProof/>
                <w:kern w:val="2"/>
                <w:szCs w:val="24"/>
                <w:lang w:eastAsia="fr-CA"/>
                <w14:ligatures w14:val="standardContextual"/>
              </w:rPr>
              <w:tab/>
            </w:r>
            <w:r w:rsidRPr="00BE55C7">
              <w:rPr>
                <w:rStyle w:val="Hyperlink"/>
                <w:noProof/>
              </w:rPr>
              <w:t>Mesures provisoires</w:t>
            </w:r>
            <w:r>
              <w:rPr>
                <w:noProof/>
                <w:webHidden/>
              </w:rPr>
              <w:tab/>
            </w:r>
            <w:r>
              <w:rPr>
                <w:noProof/>
                <w:webHidden/>
              </w:rPr>
              <w:fldChar w:fldCharType="begin"/>
            </w:r>
            <w:r>
              <w:rPr>
                <w:noProof/>
                <w:webHidden/>
              </w:rPr>
              <w:instrText xml:space="preserve"> PAGEREF _Toc201921575 \h </w:instrText>
            </w:r>
            <w:r>
              <w:rPr>
                <w:noProof/>
                <w:webHidden/>
              </w:rPr>
            </w:r>
            <w:r>
              <w:rPr>
                <w:noProof/>
                <w:webHidden/>
              </w:rPr>
              <w:fldChar w:fldCharType="separate"/>
            </w:r>
            <w:r>
              <w:rPr>
                <w:noProof/>
                <w:webHidden/>
              </w:rPr>
              <w:t>11</w:t>
            </w:r>
            <w:r>
              <w:rPr>
                <w:noProof/>
                <w:webHidden/>
              </w:rPr>
              <w:fldChar w:fldCharType="end"/>
            </w:r>
          </w:hyperlink>
        </w:p>
        <w:p w14:paraId="2E2C256E" w14:textId="38AD441D" w:rsidR="00E67042" w:rsidRDefault="00E67042">
          <w:pPr>
            <w:pStyle w:val="TOC1"/>
            <w:tabs>
              <w:tab w:val="left" w:pos="480"/>
              <w:tab w:val="right" w:leader="dot" w:pos="9350"/>
            </w:tabs>
            <w:rPr>
              <w:rFonts w:asciiTheme="minorHAnsi" w:eastAsiaTheme="minorEastAsia" w:hAnsiTheme="minorHAnsi"/>
              <w:noProof/>
              <w:kern w:val="2"/>
              <w:szCs w:val="24"/>
              <w:lang w:eastAsia="fr-CA"/>
              <w14:ligatures w14:val="standardContextual"/>
            </w:rPr>
          </w:pPr>
          <w:hyperlink w:anchor="_Toc201921576" w:history="1">
            <w:r w:rsidRPr="00BE55C7">
              <w:rPr>
                <w:rStyle w:val="Hyperlink"/>
                <w:noProof/>
              </w:rPr>
              <w:t>7.</w:t>
            </w:r>
            <w:r>
              <w:rPr>
                <w:rFonts w:asciiTheme="minorHAnsi" w:eastAsiaTheme="minorEastAsia" w:hAnsiTheme="minorHAnsi"/>
                <w:noProof/>
                <w:kern w:val="2"/>
                <w:szCs w:val="24"/>
                <w:lang w:eastAsia="fr-CA"/>
                <w14:ligatures w14:val="standardContextual"/>
              </w:rPr>
              <w:tab/>
            </w:r>
            <w:r w:rsidRPr="00BE55C7">
              <w:rPr>
                <w:rStyle w:val="Hyperlink"/>
                <w:noProof/>
              </w:rPr>
              <w:t>Processus de signalement</w:t>
            </w:r>
            <w:r>
              <w:rPr>
                <w:noProof/>
                <w:webHidden/>
              </w:rPr>
              <w:tab/>
            </w:r>
            <w:r>
              <w:rPr>
                <w:noProof/>
                <w:webHidden/>
              </w:rPr>
              <w:fldChar w:fldCharType="begin"/>
            </w:r>
            <w:r>
              <w:rPr>
                <w:noProof/>
                <w:webHidden/>
              </w:rPr>
              <w:instrText xml:space="preserve"> PAGEREF _Toc201921576 \h </w:instrText>
            </w:r>
            <w:r>
              <w:rPr>
                <w:noProof/>
                <w:webHidden/>
              </w:rPr>
            </w:r>
            <w:r>
              <w:rPr>
                <w:noProof/>
                <w:webHidden/>
              </w:rPr>
              <w:fldChar w:fldCharType="separate"/>
            </w:r>
            <w:r>
              <w:rPr>
                <w:noProof/>
                <w:webHidden/>
              </w:rPr>
              <w:t>12</w:t>
            </w:r>
            <w:r>
              <w:rPr>
                <w:noProof/>
                <w:webHidden/>
              </w:rPr>
              <w:fldChar w:fldCharType="end"/>
            </w:r>
          </w:hyperlink>
        </w:p>
        <w:p w14:paraId="6EA4B710" w14:textId="01F3166F" w:rsidR="00E67042" w:rsidRDefault="00E67042">
          <w:pPr>
            <w:pStyle w:val="TOC1"/>
            <w:tabs>
              <w:tab w:val="left" w:pos="480"/>
              <w:tab w:val="right" w:leader="dot" w:pos="9350"/>
            </w:tabs>
            <w:rPr>
              <w:rFonts w:asciiTheme="minorHAnsi" w:eastAsiaTheme="minorEastAsia" w:hAnsiTheme="minorHAnsi"/>
              <w:noProof/>
              <w:kern w:val="2"/>
              <w:szCs w:val="24"/>
              <w:lang w:eastAsia="fr-CA"/>
              <w14:ligatures w14:val="standardContextual"/>
            </w:rPr>
          </w:pPr>
          <w:hyperlink w:anchor="_Toc201921577" w:history="1">
            <w:r w:rsidRPr="00BE55C7">
              <w:rPr>
                <w:rStyle w:val="Hyperlink"/>
                <w:noProof/>
              </w:rPr>
              <w:t>8.</w:t>
            </w:r>
            <w:r>
              <w:rPr>
                <w:rFonts w:asciiTheme="minorHAnsi" w:eastAsiaTheme="minorEastAsia" w:hAnsiTheme="minorHAnsi"/>
                <w:noProof/>
                <w:kern w:val="2"/>
                <w:szCs w:val="24"/>
                <w:lang w:eastAsia="fr-CA"/>
                <w14:ligatures w14:val="standardContextual"/>
              </w:rPr>
              <w:tab/>
            </w:r>
            <w:r w:rsidRPr="00BE55C7">
              <w:rPr>
                <w:rStyle w:val="Hyperlink"/>
                <w:noProof/>
              </w:rPr>
              <w:t>Signalements de cas d’inconduite sexuelle par des tiers</w:t>
            </w:r>
            <w:r>
              <w:rPr>
                <w:noProof/>
                <w:webHidden/>
              </w:rPr>
              <w:tab/>
            </w:r>
            <w:r>
              <w:rPr>
                <w:noProof/>
                <w:webHidden/>
              </w:rPr>
              <w:fldChar w:fldCharType="begin"/>
            </w:r>
            <w:r>
              <w:rPr>
                <w:noProof/>
                <w:webHidden/>
              </w:rPr>
              <w:instrText xml:space="preserve"> PAGEREF _Toc201921577 \h </w:instrText>
            </w:r>
            <w:r>
              <w:rPr>
                <w:noProof/>
                <w:webHidden/>
              </w:rPr>
            </w:r>
            <w:r>
              <w:rPr>
                <w:noProof/>
                <w:webHidden/>
              </w:rPr>
              <w:fldChar w:fldCharType="separate"/>
            </w:r>
            <w:r>
              <w:rPr>
                <w:noProof/>
                <w:webHidden/>
              </w:rPr>
              <w:t>13</w:t>
            </w:r>
            <w:r>
              <w:rPr>
                <w:noProof/>
                <w:webHidden/>
              </w:rPr>
              <w:fldChar w:fldCharType="end"/>
            </w:r>
          </w:hyperlink>
        </w:p>
        <w:p w14:paraId="400FD34E" w14:textId="739324BA" w:rsidR="00E67042" w:rsidRDefault="00E67042">
          <w:pPr>
            <w:pStyle w:val="TOC1"/>
            <w:tabs>
              <w:tab w:val="left" w:pos="480"/>
              <w:tab w:val="right" w:leader="dot" w:pos="9350"/>
            </w:tabs>
            <w:rPr>
              <w:rFonts w:asciiTheme="minorHAnsi" w:eastAsiaTheme="minorEastAsia" w:hAnsiTheme="minorHAnsi"/>
              <w:noProof/>
              <w:kern w:val="2"/>
              <w:szCs w:val="24"/>
              <w:lang w:eastAsia="fr-CA"/>
              <w14:ligatures w14:val="standardContextual"/>
            </w:rPr>
          </w:pPr>
          <w:hyperlink w:anchor="_Toc201921578" w:history="1">
            <w:r w:rsidRPr="00BE55C7">
              <w:rPr>
                <w:rStyle w:val="Hyperlink"/>
                <w:noProof/>
              </w:rPr>
              <w:t>9.</w:t>
            </w:r>
            <w:r>
              <w:rPr>
                <w:rFonts w:asciiTheme="minorHAnsi" w:eastAsiaTheme="minorEastAsia" w:hAnsiTheme="minorHAnsi"/>
                <w:noProof/>
                <w:kern w:val="2"/>
                <w:szCs w:val="24"/>
                <w:lang w:eastAsia="fr-CA"/>
                <w14:ligatures w14:val="standardContextual"/>
              </w:rPr>
              <w:tab/>
            </w:r>
            <w:r w:rsidRPr="00BE55C7">
              <w:rPr>
                <w:rStyle w:val="Hyperlink"/>
                <w:noProof/>
              </w:rPr>
              <w:t>Mise en œuvre et révision de l’ordre</w:t>
            </w:r>
            <w:r>
              <w:rPr>
                <w:noProof/>
                <w:webHidden/>
              </w:rPr>
              <w:tab/>
            </w:r>
            <w:r>
              <w:rPr>
                <w:noProof/>
                <w:webHidden/>
              </w:rPr>
              <w:fldChar w:fldCharType="begin"/>
            </w:r>
            <w:r>
              <w:rPr>
                <w:noProof/>
                <w:webHidden/>
              </w:rPr>
              <w:instrText xml:space="preserve"> PAGEREF _Toc201921578 \h </w:instrText>
            </w:r>
            <w:r>
              <w:rPr>
                <w:noProof/>
                <w:webHidden/>
              </w:rPr>
            </w:r>
            <w:r>
              <w:rPr>
                <w:noProof/>
                <w:webHidden/>
              </w:rPr>
              <w:fldChar w:fldCharType="separate"/>
            </w:r>
            <w:r>
              <w:rPr>
                <w:noProof/>
                <w:webHidden/>
              </w:rPr>
              <w:t>13</w:t>
            </w:r>
            <w:r>
              <w:rPr>
                <w:noProof/>
                <w:webHidden/>
              </w:rPr>
              <w:fldChar w:fldCharType="end"/>
            </w:r>
          </w:hyperlink>
        </w:p>
        <w:p w14:paraId="3A2A1FCB" w14:textId="7185FB0B" w:rsidR="00E67042" w:rsidRDefault="00E67042">
          <w:pPr>
            <w:pStyle w:val="TOC1"/>
            <w:tabs>
              <w:tab w:val="left" w:pos="720"/>
              <w:tab w:val="right" w:leader="dot" w:pos="9350"/>
            </w:tabs>
            <w:rPr>
              <w:rFonts w:asciiTheme="minorHAnsi" w:eastAsiaTheme="minorEastAsia" w:hAnsiTheme="minorHAnsi"/>
              <w:noProof/>
              <w:kern w:val="2"/>
              <w:szCs w:val="24"/>
              <w:lang w:eastAsia="fr-CA"/>
              <w14:ligatures w14:val="standardContextual"/>
            </w:rPr>
          </w:pPr>
          <w:hyperlink w:anchor="_Toc201921579" w:history="1">
            <w:r w:rsidRPr="00BE55C7">
              <w:rPr>
                <w:rStyle w:val="Hyperlink"/>
                <w:noProof/>
              </w:rPr>
              <w:t>10.</w:t>
            </w:r>
            <w:r>
              <w:rPr>
                <w:rFonts w:asciiTheme="minorHAnsi" w:eastAsiaTheme="minorEastAsia" w:hAnsiTheme="minorHAnsi"/>
                <w:noProof/>
                <w:kern w:val="2"/>
                <w:szCs w:val="24"/>
                <w:lang w:eastAsia="fr-CA"/>
                <w14:ligatures w14:val="standardContextual"/>
              </w:rPr>
              <w:tab/>
            </w:r>
            <w:r w:rsidRPr="00BE55C7">
              <w:rPr>
                <w:rStyle w:val="Hyperlink"/>
                <w:noProof/>
              </w:rPr>
              <w:t>Éducation et formation</w:t>
            </w:r>
            <w:r>
              <w:rPr>
                <w:noProof/>
                <w:webHidden/>
              </w:rPr>
              <w:tab/>
            </w:r>
            <w:r>
              <w:rPr>
                <w:noProof/>
                <w:webHidden/>
              </w:rPr>
              <w:fldChar w:fldCharType="begin"/>
            </w:r>
            <w:r>
              <w:rPr>
                <w:noProof/>
                <w:webHidden/>
              </w:rPr>
              <w:instrText xml:space="preserve"> PAGEREF _Toc201921579 \h </w:instrText>
            </w:r>
            <w:r>
              <w:rPr>
                <w:noProof/>
                <w:webHidden/>
              </w:rPr>
            </w:r>
            <w:r>
              <w:rPr>
                <w:noProof/>
                <w:webHidden/>
              </w:rPr>
              <w:fldChar w:fldCharType="separate"/>
            </w:r>
            <w:r>
              <w:rPr>
                <w:noProof/>
                <w:webHidden/>
              </w:rPr>
              <w:t>15</w:t>
            </w:r>
            <w:r>
              <w:rPr>
                <w:noProof/>
                <w:webHidden/>
              </w:rPr>
              <w:fldChar w:fldCharType="end"/>
            </w:r>
          </w:hyperlink>
        </w:p>
        <w:p w14:paraId="7D127B05" w14:textId="01EDBBA3" w:rsidR="00E67042" w:rsidRDefault="00E67042">
          <w:pPr>
            <w:pStyle w:val="TOC1"/>
            <w:tabs>
              <w:tab w:val="left" w:pos="720"/>
              <w:tab w:val="right" w:leader="dot" w:pos="9350"/>
            </w:tabs>
            <w:rPr>
              <w:rFonts w:asciiTheme="minorHAnsi" w:eastAsiaTheme="minorEastAsia" w:hAnsiTheme="minorHAnsi"/>
              <w:noProof/>
              <w:kern w:val="2"/>
              <w:szCs w:val="24"/>
              <w:lang w:eastAsia="fr-CA"/>
              <w14:ligatures w14:val="standardContextual"/>
            </w:rPr>
          </w:pPr>
          <w:hyperlink w:anchor="_Toc201921580" w:history="1">
            <w:r w:rsidRPr="00BE55C7">
              <w:rPr>
                <w:rStyle w:val="Hyperlink"/>
                <w:noProof/>
              </w:rPr>
              <w:t>11.</w:t>
            </w:r>
            <w:r>
              <w:rPr>
                <w:rFonts w:asciiTheme="minorHAnsi" w:eastAsiaTheme="minorEastAsia" w:hAnsiTheme="minorHAnsi"/>
                <w:noProof/>
                <w:kern w:val="2"/>
                <w:szCs w:val="24"/>
                <w:lang w:eastAsia="fr-CA"/>
                <w14:ligatures w14:val="standardContextual"/>
              </w:rPr>
              <w:tab/>
            </w:r>
            <w:r w:rsidRPr="00BE55C7">
              <w:rPr>
                <w:rStyle w:val="Hyperlink"/>
                <w:noProof/>
              </w:rPr>
              <w:t>Rapports de nature statistique</w:t>
            </w:r>
            <w:r>
              <w:rPr>
                <w:noProof/>
                <w:webHidden/>
              </w:rPr>
              <w:tab/>
            </w:r>
            <w:r>
              <w:rPr>
                <w:noProof/>
                <w:webHidden/>
              </w:rPr>
              <w:fldChar w:fldCharType="begin"/>
            </w:r>
            <w:r>
              <w:rPr>
                <w:noProof/>
                <w:webHidden/>
              </w:rPr>
              <w:instrText xml:space="preserve"> PAGEREF _Toc201921580 \h </w:instrText>
            </w:r>
            <w:r>
              <w:rPr>
                <w:noProof/>
                <w:webHidden/>
              </w:rPr>
            </w:r>
            <w:r>
              <w:rPr>
                <w:noProof/>
                <w:webHidden/>
              </w:rPr>
              <w:fldChar w:fldCharType="separate"/>
            </w:r>
            <w:r>
              <w:rPr>
                <w:noProof/>
                <w:webHidden/>
              </w:rPr>
              <w:t>15</w:t>
            </w:r>
            <w:r>
              <w:rPr>
                <w:noProof/>
                <w:webHidden/>
              </w:rPr>
              <w:fldChar w:fldCharType="end"/>
            </w:r>
          </w:hyperlink>
        </w:p>
        <w:p w14:paraId="49066B92" w14:textId="0A0F4CC2" w:rsidR="00E67042" w:rsidRDefault="00E67042">
          <w:pPr>
            <w:pStyle w:val="TOC1"/>
            <w:tabs>
              <w:tab w:val="left" w:pos="720"/>
              <w:tab w:val="right" w:leader="dot" w:pos="9350"/>
            </w:tabs>
            <w:rPr>
              <w:rFonts w:asciiTheme="minorHAnsi" w:eastAsiaTheme="minorEastAsia" w:hAnsiTheme="minorHAnsi"/>
              <w:noProof/>
              <w:kern w:val="2"/>
              <w:szCs w:val="24"/>
              <w:lang w:eastAsia="fr-CA"/>
              <w14:ligatures w14:val="standardContextual"/>
            </w:rPr>
          </w:pPr>
          <w:hyperlink w:anchor="_Toc201921581" w:history="1">
            <w:r w:rsidRPr="00BE55C7">
              <w:rPr>
                <w:rStyle w:val="Hyperlink"/>
                <w:noProof/>
              </w:rPr>
              <w:t>12.</w:t>
            </w:r>
            <w:r>
              <w:rPr>
                <w:rFonts w:asciiTheme="minorHAnsi" w:eastAsiaTheme="minorEastAsia" w:hAnsiTheme="minorHAnsi"/>
                <w:noProof/>
                <w:kern w:val="2"/>
                <w:szCs w:val="24"/>
                <w:lang w:eastAsia="fr-CA"/>
                <w14:ligatures w14:val="standardContextual"/>
              </w:rPr>
              <w:tab/>
            </w:r>
            <w:r w:rsidRPr="00BE55C7">
              <w:rPr>
                <w:rStyle w:val="Hyperlink"/>
                <w:noProof/>
              </w:rPr>
              <w:t>Références</w:t>
            </w:r>
            <w:r>
              <w:rPr>
                <w:noProof/>
                <w:webHidden/>
              </w:rPr>
              <w:tab/>
            </w:r>
            <w:r>
              <w:rPr>
                <w:noProof/>
                <w:webHidden/>
              </w:rPr>
              <w:fldChar w:fldCharType="begin"/>
            </w:r>
            <w:r>
              <w:rPr>
                <w:noProof/>
                <w:webHidden/>
              </w:rPr>
              <w:instrText xml:space="preserve"> PAGEREF _Toc201921581 \h </w:instrText>
            </w:r>
            <w:r>
              <w:rPr>
                <w:noProof/>
                <w:webHidden/>
              </w:rPr>
            </w:r>
            <w:r>
              <w:rPr>
                <w:noProof/>
                <w:webHidden/>
              </w:rPr>
              <w:fldChar w:fldCharType="separate"/>
            </w:r>
            <w:r>
              <w:rPr>
                <w:noProof/>
                <w:webHidden/>
              </w:rPr>
              <w:t>15</w:t>
            </w:r>
            <w:r>
              <w:rPr>
                <w:noProof/>
                <w:webHidden/>
              </w:rPr>
              <w:fldChar w:fldCharType="end"/>
            </w:r>
          </w:hyperlink>
        </w:p>
        <w:p w14:paraId="079C13C2" w14:textId="1659AA84" w:rsidR="00A14E60" w:rsidRPr="00EC2CEE" w:rsidRDefault="00FC5FE4" w:rsidP="00A14E60">
          <w:r w:rsidRPr="00EC2CEE">
            <w:rPr>
              <w:b/>
              <w:bCs/>
            </w:rPr>
            <w:fldChar w:fldCharType="end"/>
          </w:r>
        </w:p>
      </w:sdtContent>
    </w:sdt>
    <w:p w14:paraId="0906ADF0" w14:textId="430481E3" w:rsidR="006C578C" w:rsidRPr="00EC2CEE" w:rsidRDefault="00A14E60" w:rsidP="00A14E60">
      <w:pPr>
        <w:pStyle w:val="Heading1"/>
      </w:pPr>
      <w:bookmarkStart w:id="0" w:name="_Toc201921570"/>
      <w:r w:rsidRPr="00EC2CEE">
        <w:t>1.</w:t>
      </w:r>
      <w:r w:rsidRPr="00EC2CEE">
        <w:tab/>
        <w:t>Renseignements généraux</w:t>
      </w:r>
      <w:bookmarkEnd w:id="0"/>
    </w:p>
    <w:p w14:paraId="1A0D9949" w14:textId="27FD5E8D" w:rsidR="00FC5FE4" w:rsidRPr="00EC2CEE" w:rsidRDefault="00FC5FE4" w:rsidP="00FC5FE4"/>
    <w:tbl>
      <w:tblPr>
        <w:tblStyle w:val="TableGridLight"/>
        <w:tblW w:w="0" w:type="auto"/>
        <w:tblLook w:val="04A0" w:firstRow="1" w:lastRow="0" w:firstColumn="1" w:lastColumn="0" w:noHBand="0" w:noVBand="1"/>
      </w:tblPr>
      <w:tblGrid>
        <w:gridCol w:w="840"/>
        <w:gridCol w:w="1803"/>
        <w:gridCol w:w="6717"/>
      </w:tblGrid>
      <w:tr w:rsidR="00A14E60" w:rsidRPr="00EC2CEE" w14:paraId="4AACDAEB" w14:textId="77777777" w:rsidTr="00DB0A79">
        <w:tc>
          <w:tcPr>
            <w:tcW w:w="846" w:type="dxa"/>
          </w:tcPr>
          <w:p w14:paraId="5BAAC4CD" w14:textId="3C2A80AD" w:rsidR="00A14E60" w:rsidRPr="00EC2CEE" w:rsidRDefault="00A14E60" w:rsidP="00A14E60">
            <w:pPr>
              <w:pStyle w:val="NoSpacing"/>
              <w:rPr>
                <w:b/>
                <w:bCs/>
              </w:rPr>
            </w:pPr>
            <w:r w:rsidRPr="00EC2CEE">
              <w:rPr>
                <w:b/>
                <w:bCs/>
              </w:rPr>
              <w:t>1.1</w:t>
            </w:r>
          </w:p>
        </w:tc>
        <w:tc>
          <w:tcPr>
            <w:tcW w:w="1701" w:type="dxa"/>
          </w:tcPr>
          <w:p w14:paraId="414CDE24" w14:textId="5A93BDEE" w:rsidR="00A14E60" w:rsidRPr="00EC2CEE" w:rsidRDefault="00A14E60" w:rsidP="00FC5FE4">
            <w:pPr>
              <w:rPr>
                <w:b/>
                <w:bCs/>
              </w:rPr>
            </w:pPr>
            <w:r w:rsidRPr="00EC2CEE">
              <w:rPr>
                <w:b/>
                <w:bCs/>
              </w:rPr>
              <w:t>Date de publication</w:t>
            </w:r>
          </w:p>
        </w:tc>
        <w:tc>
          <w:tcPr>
            <w:tcW w:w="6803" w:type="dxa"/>
          </w:tcPr>
          <w:p w14:paraId="487C8351" w14:textId="348DDD72" w:rsidR="0041468B" w:rsidRPr="00EC2CEE" w:rsidRDefault="00A14E60" w:rsidP="00DB0A79">
            <w:pPr>
              <w:pStyle w:val="NoSpacing"/>
            </w:pPr>
            <w:r w:rsidRPr="00EC2CEE">
              <w:t>Le 1</w:t>
            </w:r>
            <w:r w:rsidRPr="00EC2CEE">
              <w:rPr>
                <w:vertAlign w:val="superscript"/>
              </w:rPr>
              <w:t>er</w:t>
            </w:r>
            <w:r w:rsidRPr="00EC2CEE">
              <w:t> février 2023</w:t>
            </w:r>
          </w:p>
          <w:p w14:paraId="3CF2D39C" w14:textId="7846A032" w:rsidR="00DB0A79" w:rsidRPr="00EC2CEE" w:rsidRDefault="00DB0A79" w:rsidP="00DB0A79">
            <w:pPr>
              <w:pStyle w:val="NoSpacing"/>
            </w:pPr>
          </w:p>
        </w:tc>
      </w:tr>
      <w:tr w:rsidR="00A14E60" w:rsidRPr="00EC2CEE" w14:paraId="18CA172E" w14:textId="77777777" w:rsidTr="00DB0A79">
        <w:tc>
          <w:tcPr>
            <w:tcW w:w="846" w:type="dxa"/>
          </w:tcPr>
          <w:p w14:paraId="64573BA4" w14:textId="2A451E4E" w:rsidR="00A14E60" w:rsidRPr="00EC2CEE" w:rsidRDefault="0041468B" w:rsidP="00FC5FE4">
            <w:pPr>
              <w:rPr>
                <w:b/>
                <w:bCs/>
              </w:rPr>
            </w:pPr>
            <w:r w:rsidRPr="00EC2CEE">
              <w:rPr>
                <w:b/>
                <w:bCs/>
              </w:rPr>
              <w:t>1.2</w:t>
            </w:r>
          </w:p>
        </w:tc>
        <w:tc>
          <w:tcPr>
            <w:tcW w:w="1701" w:type="dxa"/>
          </w:tcPr>
          <w:p w14:paraId="0197ED5B" w14:textId="622E83A3" w:rsidR="00A14E60" w:rsidRPr="00EC2CEE" w:rsidRDefault="0041468B" w:rsidP="00FC5FE4">
            <w:pPr>
              <w:rPr>
                <w:b/>
                <w:bCs/>
              </w:rPr>
            </w:pPr>
            <w:r w:rsidRPr="00EC2CEE">
              <w:rPr>
                <w:b/>
                <w:bCs/>
              </w:rPr>
              <w:t>Date de modification</w:t>
            </w:r>
          </w:p>
        </w:tc>
        <w:tc>
          <w:tcPr>
            <w:tcW w:w="6803" w:type="dxa"/>
          </w:tcPr>
          <w:p w14:paraId="3C796951" w14:textId="24F2C94E" w:rsidR="00A14E60" w:rsidRPr="00EC2CEE" w:rsidRDefault="003352C5" w:rsidP="00FC5FE4">
            <w:r w:rsidRPr="00EC2CEE">
              <w:t>Le 13 juin 2025</w:t>
            </w:r>
          </w:p>
        </w:tc>
      </w:tr>
      <w:tr w:rsidR="00A14E60" w:rsidRPr="00EC2CEE" w14:paraId="1F4310A1" w14:textId="77777777" w:rsidTr="00DB0A79">
        <w:tc>
          <w:tcPr>
            <w:tcW w:w="846" w:type="dxa"/>
          </w:tcPr>
          <w:p w14:paraId="1BE7FAFB" w14:textId="6DFCC983" w:rsidR="00A14E60" w:rsidRPr="00EC2CEE" w:rsidRDefault="0041468B" w:rsidP="00A91405">
            <w:pPr>
              <w:pStyle w:val="NoSpacing"/>
              <w:rPr>
                <w:b/>
                <w:bCs/>
              </w:rPr>
            </w:pPr>
            <w:r w:rsidRPr="00EC2CEE">
              <w:rPr>
                <w:b/>
                <w:bCs/>
              </w:rPr>
              <w:t>1.3</w:t>
            </w:r>
          </w:p>
        </w:tc>
        <w:tc>
          <w:tcPr>
            <w:tcW w:w="1701" w:type="dxa"/>
          </w:tcPr>
          <w:p w14:paraId="2D943CA9" w14:textId="73C79226" w:rsidR="00A14E60" w:rsidRPr="00EC2CEE" w:rsidRDefault="0041468B" w:rsidP="00A91405">
            <w:pPr>
              <w:pStyle w:val="NoSpacing"/>
              <w:rPr>
                <w:b/>
                <w:bCs/>
              </w:rPr>
            </w:pPr>
            <w:r w:rsidRPr="00EC2CEE">
              <w:rPr>
                <w:b/>
                <w:bCs/>
              </w:rPr>
              <w:t>Demandes</w:t>
            </w:r>
          </w:p>
        </w:tc>
        <w:tc>
          <w:tcPr>
            <w:tcW w:w="6803" w:type="dxa"/>
          </w:tcPr>
          <w:p w14:paraId="3D25030C" w14:textId="4B5BA1E7" w:rsidR="00A14E60" w:rsidRPr="00EC2CEE" w:rsidRDefault="002118E9" w:rsidP="00A91405">
            <w:pPr>
              <w:pStyle w:val="NoSpacing"/>
            </w:pPr>
            <w:r w:rsidRPr="00EC2CEE">
              <w:t>Le Collège militaire royal (CMR) s</w:t>
            </w:r>
            <w:r w:rsidR="00180A75" w:rsidRPr="00EC2CEE">
              <w:t>’</w:t>
            </w:r>
            <w:r w:rsidRPr="00EC2CEE">
              <w:t>engage à offrir un environnement sûr, exempt de violence sexuelle et de toute forme d</w:t>
            </w:r>
            <w:r w:rsidR="00180A75" w:rsidRPr="00EC2CEE">
              <w:t>’</w:t>
            </w:r>
            <w:r w:rsidRPr="00EC2CEE">
              <w:t>inconduite sexuelle, à tous ses stagiaires, à son personnel, à son corps enseignant et à toutes les autres personnes qui y travaillent ou y étudient.</w:t>
            </w:r>
          </w:p>
          <w:p w14:paraId="7EEA5A20" w14:textId="77777777" w:rsidR="002118E9" w:rsidRPr="00EC2CEE" w:rsidRDefault="002118E9" w:rsidP="00A91405">
            <w:pPr>
              <w:pStyle w:val="NoSpacing"/>
            </w:pPr>
          </w:p>
          <w:p w14:paraId="37D215F5" w14:textId="5B6EC473" w:rsidR="002118E9" w:rsidRPr="00EC2CEE" w:rsidRDefault="00A91405" w:rsidP="00A91405">
            <w:pPr>
              <w:pStyle w:val="NoSpacing"/>
            </w:pPr>
            <w:r w:rsidRPr="00EC2CEE">
              <w:t>Le ministère de la Défense nationale (MDN) et les Forces armées canadiennes (FAC) ont établi des politiques relatives aux problèmes d</w:t>
            </w:r>
            <w:r w:rsidR="00180A75" w:rsidRPr="00EC2CEE">
              <w:t>’</w:t>
            </w:r>
            <w:r w:rsidRPr="00EC2CEE">
              <w:t xml:space="preserve">inconduite sexuelle et de harcèlement : les Directives et ordonnances administratives de la Défense 5012-0 (FAC), Prévention et résolution du harcèlement; le </w:t>
            </w:r>
            <w:r w:rsidRPr="00EC2CEE">
              <w:rPr>
                <w:i/>
                <w:iCs/>
              </w:rPr>
              <w:t>Règlement sur la prévention du harcèlement et de la violence dans le lieu de travail</w:t>
            </w:r>
            <w:r w:rsidRPr="00EC2CEE">
              <w:t xml:space="preserve"> </w:t>
            </w:r>
            <w:r w:rsidRPr="00EC2CEE">
              <w:lastRenderedPageBreak/>
              <w:t xml:space="preserve">(RPHVLT), en vertu du </w:t>
            </w:r>
            <w:r w:rsidRPr="00EC2CEE">
              <w:rPr>
                <w:i/>
                <w:iCs/>
              </w:rPr>
              <w:t>Code canadien du travail</w:t>
            </w:r>
            <w:r w:rsidRPr="00EC2CEE">
              <w:t>, partie II (FAC et MDN); les Directives et ordonnances administratives de la Défense 7023-0 (FAC), Éthique de la Défense (FAC et MDN); et les Directives et ordonnances administratives de la Défense 9005-1, Intervention en cas d</w:t>
            </w:r>
            <w:r w:rsidR="00180A75" w:rsidRPr="00EC2CEE">
              <w:t>’</w:t>
            </w:r>
            <w:r w:rsidRPr="00EC2CEE">
              <w:t>inconduite sexuelle (FAC). Le présent ordre ne vise pas à remplacer ou à contredire ces politiques ou le système juridique criminel ou militaire ni à y faire obstacle.</w:t>
            </w:r>
          </w:p>
          <w:p w14:paraId="6CF9E00E" w14:textId="77777777" w:rsidR="00A91405" w:rsidRPr="00EC2CEE" w:rsidRDefault="00A91405" w:rsidP="00A91405">
            <w:pPr>
              <w:pStyle w:val="NoSpacing"/>
            </w:pPr>
          </w:p>
          <w:p w14:paraId="3E51106D" w14:textId="514C333A" w:rsidR="00A91405" w:rsidRPr="00EC2CEE" w:rsidRDefault="00A91405" w:rsidP="00A91405">
            <w:pPr>
              <w:pStyle w:val="NoSpacing"/>
            </w:pPr>
            <w:r w:rsidRPr="00EC2CEE">
              <w:t>Le CMR est une institution fédérale établie en Ontario. En tant que membre associé du Conseil des universités de l</w:t>
            </w:r>
            <w:r w:rsidR="00180A75" w:rsidRPr="00EC2CEE">
              <w:t>’</w:t>
            </w:r>
            <w:r w:rsidRPr="00EC2CEE">
              <w:t>Ontario (CUO), le présent ordre reflète aussi les dispositions du projet de loi C-132 de l</w:t>
            </w:r>
            <w:r w:rsidR="00180A75" w:rsidRPr="00EC2CEE">
              <w:t>’</w:t>
            </w:r>
            <w:r w:rsidRPr="00EC2CEE">
              <w:t xml:space="preserve">Ontario, Violence sexuelle dans les collèges et universités, en vertu de la </w:t>
            </w:r>
            <w:r w:rsidRPr="00EC2CEE">
              <w:rPr>
                <w:i/>
                <w:iCs/>
              </w:rPr>
              <w:t>Loi sur le ministère de la Formation et des Collèges et Universités</w:t>
            </w:r>
            <w:r w:rsidRPr="00EC2CEE">
              <w:t>.</w:t>
            </w:r>
          </w:p>
          <w:p w14:paraId="46EFFD6A" w14:textId="77777777" w:rsidR="00A91405" w:rsidRPr="00EC2CEE" w:rsidRDefault="00A91405" w:rsidP="00A91405">
            <w:pPr>
              <w:pStyle w:val="NoSpacing"/>
            </w:pPr>
          </w:p>
          <w:p w14:paraId="7FD9B7DA" w14:textId="7E707307" w:rsidR="00A91405" w:rsidRPr="00EC2CEE" w:rsidRDefault="00A91405" w:rsidP="00A91405">
            <w:pPr>
              <w:pStyle w:val="NoSpacing"/>
            </w:pPr>
            <w:r w:rsidRPr="00EC2CEE">
              <w:t>Le présent ordre permanent est un ordre qui s</w:t>
            </w:r>
            <w:r w:rsidR="00180A75" w:rsidRPr="00EC2CEE">
              <w:t>’</w:t>
            </w:r>
            <w:r w:rsidRPr="00EC2CEE">
              <w:t>applique aux militaires et une directive qui s</w:t>
            </w:r>
            <w:r w:rsidR="00180A75" w:rsidRPr="00EC2CEE">
              <w:t>’</w:t>
            </w:r>
            <w:r w:rsidRPr="00EC2CEE">
              <w:t>applique au personnel civil</w:t>
            </w:r>
            <w:r w:rsidR="00875779" w:rsidRPr="00EC2CEE">
              <w:t xml:space="preserve">. </w:t>
            </w:r>
            <w:r w:rsidRPr="00EC2CEE">
              <w:t>Il est publié sous l</w:t>
            </w:r>
            <w:r w:rsidR="00180A75" w:rsidRPr="00EC2CEE">
              <w:t>’</w:t>
            </w:r>
            <w:r w:rsidRPr="00EC2CEE">
              <w:t>autorité du commandant du CMR et s</w:t>
            </w:r>
            <w:r w:rsidR="00180A75" w:rsidRPr="00EC2CEE">
              <w:t>’</w:t>
            </w:r>
            <w:r w:rsidRPr="00EC2CEE">
              <w:t>applique aux membres des Forces armées canadiennes, aux employés du ministère de la Défense nationale, ainsi qu</w:t>
            </w:r>
            <w:r w:rsidR="00180A75" w:rsidRPr="00EC2CEE">
              <w:t>’</w:t>
            </w:r>
            <w:r w:rsidRPr="00EC2CEE">
              <w:t>à tous les stagiaires et entrepreneurs civils qui étudient ou travaillent au CMR.</w:t>
            </w:r>
          </w:p>
          <w:p w14:paraId="5E6F190F" w14:textId="77777777" w:rsidR="00A91405" w:rsidRPr="00EC2CEE" w:rsidRDefault="00A91405" w:rsidP="00A91405">
            <w:pPr>
              <w:pStyle w:val="NoSpacing"/>
            </w:pPr>
          </w:p>
          <w:p w14:paraId="2000DBC7" w14:textId="77777777" w:rsidR="00A91405" w:rsidRPr="00EC2CEE" w:rsidRDefault="00A91405" w:rsidP="00A91405">
            <w:pPr>
              <w:pStyle w:val="NoSpacing"/>
            </w:pPr>
            <w:r w:rsidRPr="00EC2CEE">
              <w:t xml:space="preserve">Aux fins du présent ordre et conformément aux </w:t>
            </w:r>
            <w:r w:rsidRPr="00EC2CEE">
              <w:rPr>
                <w:i/>
                <w:iCs/>
              </w:rPr>
              <w:t>Lignes directrices sur la prévention et la résolution du harcèlement</w:t>
            </w:r>
            <w:r w:rsidRPr="00EC2CEE">
              <w:t xml:space="preserve"> du MDN et au </w:t>
            </w:r>
            <w:r w:rsidRPr="00EC2CEE">
              <w:rPr>
                <w:i/>
                <w:iCs/>
              </w:rPr>
              <w:t>Règlement sur la prévention du harcèlement et de la violence dans le lieu de travail</w:t>
            </w:r>
            <w:r w:rsidRPr="00EC2CEE">
              <w:t>, le CMR est considéré comme un milieu de travail pour tout le personnel militaire et civil de la communauté du CMR, de même que pour tous les stagiaires et entrepreneurs.</w:t>
            </w:r>
          </w:p>
          <w:p w14:paraId="2AE7F231" w14:textId="252538CD" w:rsidR="00A91405" w:rsidRPr="00EC2CEE" w:rsidRDefault="00A91405" w:rsidP="00A91405">
            <w:pPr>
              <w:pStyle w:val="NoSpacing"/>
            </w:pPr>
          </w:p>
        </w:tc>
      </w:tr>
      <w:tr w:rsidR="00A91405" w:rsidRPr="00EC2CEE" w14:paraId="7E66F029" w14:textId="77777777" w:rsidTr="00DB0A79">
        <w:tc>
          <w:tcPr>
            <w:tcW w:w="846" w:type="dxa"/>
          </w:tcPr>
          <w:p w14:paraId="6AE1A742" w14:textId="7197AC7B" w:rsidR="00A14E60" w:rsidRPr="00EC2CEE" w:rsidRDefault="00A91405" w:rsidP="00A91405">
            <w:pPr>
              <w:pStyle w:val="NoSpacing"/>
              <w:rPr>
                <w:b/>
                <w:bCs/>
              </w:rPr>
            </w:pPr>
            <w:r w:rsidRPr="00EC2CEE">
              <w:rPr>
                <w:b/>
                <w:bCs/>
              </w:rPr>
              <w:lastRenderedPageBreak/>
              <w:t>1.4</w:t>
            </w:r>
          </w:p>
        </w:tc>
        <w:tc>
          <w:tcPr>
            <w:tcW w:w="1701" w:type="dxa"/>
          </w:tcPr>
          <w:p w14:paraId="6DDA86B6" w14:textId="6A0BEF64" w:rsidR="00A14E60" w:rsidRPr="00EC2CEE" w:rsidRDefault="00A91405" w:rsidP="00A91405">
            <w:pPr>
              <w:pStyle w:val="NoSpacing"/>
              <w:rPr>
                <w:b/>
                <w:bCs/>
              </w:rPr>
            </w:pPr>
            <w:r w:rsidRPr="00EC2CEE">
              <w:rPr>
                <w:b/>
                <w:bCs/>
              </w:rPr>
              <w:t>Responsable autorisé</w:t>
            </w:r>
          </w:p>
        </w:tc>
        <w:tc>
          <w:tcPr>
            <w:tcW w:w="6803" w:type="dxa"/>
          </w:tcPr>
          <w:p w14:paraId="73DD56E5" w14:textId="27968744" w:rsidR="00A14E60" w:rsidRPr="00EC2CEE" w:rsidRDefault="00A91405" w:rsidP="00A91405">
            <w:pPr>
              <w:pStyle w:val="NoSpacing"/>
            </w:pPr>
            <w:r w:rsidRPr="00EC2CEE">
              <w:t>Le présent ordre permanent du Collège est publié par le commandant conformément à l</w:t>
            </w:r>
            <w:r w:rsidR="00180A75" w:rsidRPr="00EC2CEE">
              <w:t>’</w:t>
            </w:r>
            <w:r w:rsidRPr="00EC2CEE">
              <w:t xml:space="preserve">article 4.21 des Ordonnances et règlements royaux applicables aux Forces canadiennes et aux Directives et ordonnances administratives de la Défense 1000-0 et 1000-2. </w:t>
            </w:r>
          </w:p>
          <w:p w14:paraId="736ED825" w14:textId="5BFC29D2" w:rsidR="00A91405" w:rsidRPr="00EC2CEE" w:rsidRDefault="00A91405" w:rsidP="00A91405">
            <w:pPr>
              <w:pStyle w:val="NoSpacing"/>
            </w:pPr>
          </w:p>
        </w:tc>
      </w:tr>
      <w:tr w:rsidR="00A14E60" w:rsidRPr="00EC2CEE" w14:paraId="3A3DA98F" w14:textId="77777777" w:rsidTr="00DB0A79">
        <w:tc>
          <w:tcPr>
            <w:tcW w:w="846" w:type="dxa"/>
          </w:tcPr>
          <w:p w14:paraId="4E184450" w14:textId="64958C57" w:rsidR="00A14E60" w:rsidRPr="00EC2CEE" w:rsidRDefault="00A91405" w:rsidP="00A91405">
            <w:pPr>
              <w:pStyle w:val="NoSpacing"/>
              <w:rPr>
                <w:b/>
                <w:bCs/>
              </w:rPr>
            </w:pPr>
            <w:r w:rsidRPr="00EC2CEE">
              <w:rPr>
                <w:b/>
                <w:bCs/>
              </w:rPr>
              <w:t>1.5</w:t>
            </w:r>
          </w:p>
        </w:tc>
        <w:tc>
          <w:tcPr>
            <w:tcW w:w="1701" w:type="dxa"/>
          </w:tcPr>
          <w:p w14:paraId="14018ECD" w14:textId="7EF6C40E" w:rsidR="00A14E60" w:rsidRPr="00EC2CEE" w:rsidRDefault="00A91405" w:rsidP="00A91405">
            <w:pPr>
              <w:pStyle w:val="NoSpacing"/>
              <w:rPr>
                <w:b/>
                <w:bCs/>
              </w:rPr>
            </w:pPr>
            <w:r w:rsidRPr="00EC2CEE">
              <w:rPr>
                <w:b/>
                <w:bCs/>
              </w:rPr>
              <w:t>Demandes de renseignements</w:t>
            </w:r>
          </w:p>
        </w:tc>
        <w:tc>
          <w:tcPr>
            <w:tcW w:w="6803" w:type="dxa"/>
          </w:tcPr>
          <w:p w14:paraId="1AD00ADE" w14:textId="16565539" w:rsidR="00A14E60" w:rsidRPr="00EC2CEE" w:rsidRDefault="00A91405" w:rsidP="00A91405">
            <w:pPr>
              <w:pStyle w:val="NoSpacing"/>
            </w:pPr>
            <w:r w:rsidRPr="00EC2CEE">
              <w:t xml:space="preserve">La responsabilité du présent ordre incombe au </w:t>
            </w:r>
            <w:r w:rsidR="00E32F04" w:rsidRPr="00EC2CEE">
              <w:t>d</w:t>
            </w:r>
            <w:r w:rsidRPr="00EC2CEE">
              <w:t>irecteur de l</w:t>
            </w:r>
            <w:r w:rsidR="00180A75" w:rsidRPr="00EC2CEE">
              <w:t>’</w:t>
            </w:r>
            <w:r w:rsidRPr="00EC2CEE">
              <w:t xml:space="preserve">escadre des services généraux. </w:t>
            </w:r>
          </w:p>
        </w:tc>
      </w:tr>
    </w:tbl>
    <w:p w14:paraId="3E2120C3" w14:textId="28CDAE58" w:rsidR="00A14E60" w:rsidRPr="00EC2CEE" w:rsidRDefault="00A14E60" w:rsidP="00A91405">
      <w:pPr>
        <w:pStyle w:val="NoSpacing"/>
      </w:pPr>
    </w:p>
    <w:p w14:paraId="75A6225C" w14:textId="1EF7CBB7" w:rsidR="00DB0A79" w:rsidRPr="00EC2CEE" w:rsidRDefault="00DB0A79" w:rsidP="00DB0A79">
      <w:pPr>
        <w:pStyle w:val="Heading1"/>
      </w:pPr>
      <w:bookmarkStart w:id="1" w:name="_Toc201921571"/>
      <w:r w:rsidRPr="00EC2CEE">
        <w:t>2.</w:t>
      </w:r>
      <w:r w:rsidRPr="00EC2CEE">
        <w:tab/>
        <w:t>Définitions</w:t>
      </w:r>
      <w:bookmarkEnd w:id="1"/>
    </w:p>
    <w:p w14:paraId="4ED0EA72" w14:textId="77777777" w:rsidR="00DB0A79" w:rsidRPr="00EC2CEE" w:rsidRDefault="00DB0A79" w:rsidP="00A91405">
      <w:pPr>
        <w:pStyle w:val="NoSpacing"/>
      </w:pPr>
    </w:p>
    <w:tbl>
      <w:tblPr>
        <w:tblStyle w:val="TableGridLight"/>
        <w:tblW w:w="0" w:type="auto"/>
        <w:tblLook w:val="04A0" w:firstRow="1" w:lastRow="0" w:firstColumn="1" w:lastColumn="0" w:noHBand="0" w:noVBand="1"/>
      </w:tblPr>
      <w:tblGrid>
        <w:gridCol w:w="837"/>
        <w:gridCol w:w="1856"/>
        <w:gridCol w:w="6667"/>
      </w:tblGrid>
      <w:tr w:rsidR="00A91405" w:rsidRPr="00EC2CEE" w14:paraId="4D1DCD47" w14:textId="77777777" w:rsidTr="00732921">
        <w:tc>
          <w:tcPr>
            <w:tcW w:w="846" w:type="dxa"/>
          </w:tcPr>
          <w:p w14:paraId="13100569" w14:textId="6E15427E" w:rsidR="00A91405" w:rsidRPr="00EC2CEE" w:rsidRDefault="00DB0A79" w:rsidP="00DB0A79">
            <w:pPr>
              <w:pStyle w:val="NoSpacing"/>
              <w:rPr>
                <w:b/>
                <w:bCs/>
              </w:rPr>
            </w:pPr>
            <w:r w:rsidRPr="00EC2CEE">
              <w:rPr>
                <w:b/>
                <w:bCs/>
              </w:rPr>
              <w:t>2.1</w:t>
            </w:r>
          </w:p>
        </w:tc>
        <w:tc>
          <w:tcPr>
            <w:tcW w:w="1701" w:type="dxa"/>
          </w:tcPr>
          <w:p w14:paraId="68AC45B7" w14:textId="30D4143D" w:rsidR="00A91405" w:rsidRPr="00EC2CEE" w:rsidRDefault="00DB0A79" w:rsidP="00DB0A79">
            <w:pPr>
              <w:pStyle w:val="NoSpacing"/>
              <w:rPr>
                <w:b/>
                <w:bCs/>
              </w:rPr>
            </w:pPr>
            <w:r w:rsidRPr="00EC2CEE">
              <w:rPr>
                <w:b/>
                <w:bCs/>
              </w:rPr>
              <w:t>Inconduite sexuelle</w:t>
            </w:r>
          </w:p>
        </w:tc>
        <w:tc>
          <w:tcPr>
            <w:tcW w:w="6803" w:type="dxa"/>
          </w:tcPr>
          <w:p w14:paraId="5B7B8D1A" w14:textId="09C88572" w:rsidR="00DB0A79" w:rsidRPr="00EC2CEE" w:rsidRDefault="00DB0A79" w:rsidP="002D5EA3">
            <w:pPr>
              <w:pStyle w:val="NoSpacing"/>
            </w:pPr>
            <w:r w:rsidRPr="00EC2CEE">
              <w:t xml:space="preserve">Le terme </w:t>
            </w:r>
            <w:r w:rsidR="00180A75" w:rsidRPr="00EC2CEE">
              <w:t>«</w:t>
            </w:r>
            <w:r w:rsidRPr="00EC2CEE">
              <w:t> inconduite sexuelle </w:t>
            </w:r>
            <w:r w:rsidR="00180A75" w:rsidRPr="00EC2CEE">
              <w:t>»</w:t>
            </w:r>
            <w:r w:rsidRPr="00EC2CEE">
              <w:t xml:space="preserve"> est défini comme étant un comportement à caractère sexuel qui cause ou pourrait causer des préjudices à d</w:t>
            </w:r>
            <w:r w:rsidR="00180A75" w:rsidRPr="00EC2CEE">
              <w:t>’</w:t>
            </w:r>
            <w:r w:rsidRPr="00EC2CEE">
              <w:t xml:space="preserve">autres personnes, et dont la personne savait ou </w:t>
            </w:r>
            <w:r w:rsidRPr="00EC2CEE">
              <w:lastRenderedPageBreak/>
              <w:t>aurait dû raisonnablement savoir qu</w:t>
            </w:r>
            <w:r w:rsidR="00180A75" w:rsidRPr="00EC2CEE">
              <w:t>’</w:t>
            </w:r>
            <w:r w:rsidRPr="00EC2CEE">
              <w:t>un tel comportement pourrait être préjudiciable, notamment :</w:t>
            </w:r>
          </w:p>
          <w:p w14:paraId="691D23BD" w14:textId="77777777" w:rsidR="002D5EA3" w:rsidRPr="00EC2CEE" w:rsidRDefault="002D5EA3" w:rsidP="002D5EA3">
            <w:pPr>
              <w:pStyle w:val="NoSpacing"/>
            </w:pPr>
          </w:p>
          <w:p w14:paraId="13827127" w14:textId="671236FB" w:rsidR="002D5EA3" w:rsidRPr="00EC2CEE" w:rsidRDefault="002D5EA3" w:rsidP="00C52DB5">
            <w:pPr>
              <w:pStyle w:val="NoSpacing"/>
              <w:numPr>
                <w:ilvl w:val="0"/>
                <w:numId w:val="14"/>
              </w:numPr>
            </w:pPr>
            <w:r w:rsidRPr="00EC2CEE">
              <w:t>Des actes ou des mots qui dévalorisent les autres en fonction de leur sexe, de leur sexualité, de leur orientation sexuelle, ou de leur identité ou expression de genre.</w:t>
            </w:r>
          </w:p>
          <w:p w14:paraId="12849CF6" w14:textId="77777777" w:rsidR="002D5EA3" w:rsidRPr="00EC2CEE" w:rsidRDefault="002D5EA3" w:rsidP="002D5EA3">
            <w:pPr>
              <w:pStyle w:val="NoSpacing"/>
            </w:pPr>
          </w:p>
          <w:p w14:paraId="0E3B9ECB" w14:textId="07FC6447" w:rsidR="002D5EA3" w:rsidRPr="00EC2CEE" w:rsidRDefault="002D5EA3" w:rsidP="00C52DB5">
            <w:pPr>
              <w:pStyle w:val="NoSpacing"/>
              <w:numPr>
                <w:ilvl w:val="0"/>
                <w:numId w:val="14"/>
              </w:numPr>
            </w:pPr>
            <w:r w:rsidRPr="00EC2CEE">
              <w:t>Des blagues, des remarques, des avances ou des abus verbaux à caractère sexuel en milieu de travail.</w:t>
            </w:r>
          </w:p>
          <w:p w14:paraId="5B1A7641" w14:textId="77777777" w:rsidR="002D5EA3" w:rsidRPr="00EC2CEE" w:rsidRDefault="002D5EA3" w:rsidP="002D5EA3">
            <w:pPr>
              <w:pStyle w:val="NoSpacing"/>
            </w:pPr>
          </w:p>
          <w:p w14:paraId="20477903" w14:textId="26121591" w:rsidR="002D5EA3" w:rsidRPr="00EC2CEE" w:rsidRDefault="002D5EA3" w:rsidP="00C52DB5">
            <w:pPr>
              <w:pStyle w:val="NoSpacing"/>
              <w:numPr>
                <w:ilvl w:val="0"/>
                <w:numId w:val="14"/>
              </w:numPr>
            </w:pPr>
            <w:r w:rsidRPr="00EC2CEE">
              <w:t>Un harcèlement à caractère sexuel, y compris des rites d</w:t>
            </w:r>
            <w:r w:rsidR="00180A75" w:rsidRPr="00EC2CEE">
              <w:t>’</w:t>
            </w:r>
            <w:r w:rsidRPr="00EC2CEE">
              <w:t>initiation à caractère sexuel.</w:t>
            </w:r>
          </w:p>
          <w:p w14:paraId="2B581D63" w14:textId="77777777" w:rsidR="002D5EA3" w:rsidRPr="00EC2CEE" w:rsidRDefault="002D5EA3" w:rsidP="002D5EA3">
            <w:pPr>
              <w:pStyle w:val="NoSpacing"/>
            </w:pPr>
          </w:p>
          <w:p w14:paraId="143192D4" w14:textId="05C0C04A" w:rsidR="00C52DB5" w:rsidRPr="00EC2CEE" w:rsidRDefault="00BE071E" w:rsidP="002D5EA3">
            <w:pPr>
              <w:pStyle w:val="NoSpacing"/>
              <w:numPr>
                <w:ilvl w:val="0"/>
                <w:numId w:val="14"/>
              </w:numPr>
            </w:pPr>
            <w:sdt>
              <w:sdtPr>
                <w:tag w:val="goog_rdk_2"/>
                <w:id w:val="327639858"/>
              </w:sdtPr>
              <w:sdtEndPr/>
              <w:sdtContent/>
            </w:sdt>
            <w:r w:rsidR="00C56F41" w:rsidRPr="00EC2CEE">
              <w:t>Le fait de regarder, de distribuer ou d</w:t>
            </w:r>
            <w:r w:rsidR="00180A75" w:rsidRPr="00EC2CEE">
              <w:t>’</w:t>
            </w:r>
            <w:r w:rsidR="00C56F41" w:rsidRPr="00EC2CEE">
              <w:t>afficher des documents sexuellement explicites ou d</w:t>
            </w:r>
            <w:r w:rsidR="00180A75" w:rsidRPr="00EC2CEE">
              <w:t>’</w:t>
            </w:r>
            <w:r w:rsidR="00C56F41" w:rsidRPr="00EC2CEE">
              <w:t>y accéder en milieu de travail.</w:t>
            </w:r>
          </w:p>
          <w:p w14:paraId="3159DF68" w14:textId="77777777" w:rsidR="00C52DB5" w:rsidRPr="00EC2CEE" w:rsidRDefault="00C52DB5" w:rsidP="00C52DB5">
            <w:pPr>
              <w:pStyle w:val="NoSpacing"/>
              <w:ind w:left="720"/>
            </w:pPr>
          </w:p>
          <w:p w14:paraId="4708CF73" w14:textId="6933615A" w:rsidR="002D5EA3" w:rsidRPr="00EC2CEE" w:rsidRDefault="002D5EA3" w:rsidP="00C52DB5">
            <w:pPr>
              <w:pStyle w:val="NoSpacing"/>
              <w:numPr>
                <w:ilvl w:val="0"/>
                <w:numId w:val="14"/>
              </w:numPr>
            </w:pPr>
            <w:r w:rsidRPr="00EC2CEE">
              <w:t xml:space="preserve">Toute infraction au </w:t>
            </w:r>
            <w:r w:rsidRPr="00EC2CEE">
              <w:rPr>
                <w:i/>
              </w:rPr>
              <w:t>Code criminel</w:t>
            </w:r>
            <w:r w:rsidRPr="00EC2CEE">
              <w:t xml:space="preserve"> à caractère sexuel, notamment : </w:t>
            </w:r>
          </w:p>
          <w:p w14:paraId="732A9FD2" w14:textId="77777777" w:rsidR="00C52DB5" w:rsidRPr="00EC2CEE" w:rsidRDefault="00C52DB5" w:rsidP="00C52DB5">
            <w:pPr>
              <w:pStyle w:val="NoSpacing"/>
              <w:ind w:left="720"/>
            </w:pPr>
          </w:p>
          <w:p w14:paraId="380B4CD0" w14:textId="0D20C98A" w:rsidR="002D5EA3" w:rsidRPr="00EC2CEE" w:rsidRDefault="002D5EA3" w:rsidP="00C52DB5">
            <w:pPr>
              <w:pStyle w:val="NoSpacing"/>
              <w:numPr>
                <w:ilvl w:val="0"/>
                <w:numId w:val="17"/>
              </w:numPr>
            </w:pPr>
            <w:r w:rsidRPr="00EC2CEE">
              <w:t>Article 162 (voyeurisme, c.-à-d. subrepticement observer ou enregistrer une personne dans un lieu où la personne expose ou pourrait exposer ses organes génitaux ou sa région anale ou ses seins, ou se livrer à une activité sexuelle explicite, ou la distribution d</w:t>
            </w:r>
            <w:r w:rsidR="00180A75" w:rsidRPr="00EC2CEE">
              <w:t>’</w:t>
            </w:r>
            <w:r w:rsidRPr="00EC2CEE">
              <w:t xml:space="preserve">un tel enregistrement). </w:t>
            </w:r>
          </w:p>
          <w:p w14:paraId="68D92440" w14:textId="77777777" w:rsidR="002D5EA3" w:rsidRPr="00EC2CEE" w:rsidRDefault="002D5EA3" w:rsidP="002D5EA3">
            <w:pPr>
              <w:pStyle w:val="NoSpacing"/>
              <w:ind w:left="2270"/>
            </w:pPr>
          </w:p>
          <w:p w14:paraId="248E9FD4" w14:textId="02BA2437" w:rsidR="002D5EA3" w:rsidRPr="00EC2CEE" w:rsidRDefault="002D5EA3" w:rsidP="00C52DB5">
            <w:pPr>
              <w:pStyle w:val="NoSpacing"/>
              <w:numPr>
                <w:ilvl w:val="0"/>
                <w:numId w:val="17"/>
              </w:numPr>
            </w:pPr>
            <w:r w:rsidRPr="00EC2CEE">
              <w:t>Article 162.1 (publication, etc., non consensuelle d</w:t>
            </w:r>
            <w:r w:rsidR="00180A75" w:rsidRPr="00EC2CEE">
              <w:t>’</w:t>
            </w:r>
            <w:r w:rsidRPr="00EC2CEE">
              <w:t>une image intime, c.-à-d. publier, distribuer, transmettre, vendre ou rendre accessible une image intime d</w:t>
            </w:r>
            <w:r w:rsidR="00180A75" w:rsidRPr="00EC2CEE">
              <w:t>’</w:t>
            </w:r>
            <w:r w:rsidRPr="00EC2CEE">
              <w:t>une autre personne sans son consentement, tel qu</w:t>
            </w:r>
            <w:r w:rsidR="00180A75" w:rsidRPr="00EC2CEE">
              <w:t>’</w:t>
            </w:r>
            <w:r w:rsidRPr="00EC2CEE">
              <w:t>un enregistrement visuel d</w:t>
            </w:r>
            <w:r w:rsidR="00180A75" w:rsidRPr="00EC2CEE">
              <w:t>’</w:t>
            </w:r>
            <w:r w:rsidRPr="00EC2CEE">
              <w:t>une personne où celle-ci figure nue, exposant ses organes génitaux, sa région anale ou ses seins, ou se livrant à une activité sexuelle explicite).</w:t>
            </w:r>
          </w:p>
          <w:p w14:paraId="4AFC50BE" w14:textId="77777777" w:rsidR="002D5EA3" w:rsidRPr="00EC2CEE" w:rsidRDefault="002D5EA3" w:rsidP="002D5EA3">
            <w:pPr>
              <w:pStyle w:val="NoSpacing"/>
              <w:ind w:left="2270"/>
            </w:pPr>
          </w:p>
          <w:p w14:paraId="0E9660CF" w14:textId="16EBDAFC" w:rsidR="002D5EA3" w:rsidRPr="00EC2CEE" w:rsidRDefault="002D5EA3" w:rsidP="00C52DB5">
            <w:pPr>
              <w:pStyle w:val="NoSpacing"/>
              <w:numPr>
                <w:ilvl w:val="0"/>
                <w:numId w:val="17"/>
              </w:numPr>
            </w:pPr>
            <w:r w:rsidRPr="00EC2CEE">
              <w:t>Article 271 (agression sexuelle, c.-à-d. s</w:t>
            </w:r>
            <w:r w:rsidR="00180A75" w:rsidRPr="00EC2CEE">
              <w:t>’</w:t>
            </w:r>
            <w:r w:rsidRPr="00EC2CEE">
              <w:t>engager dans tout genre d</w:t>
            </w:r>
            <w:r w:rsidR="00180A75" w:rsidRPr="00EC2CEE">
              <w:t>’</w:t>
            </w:r>
            <w:r w:rsidRPr="00EC2CEE">
              <w:t>activité sexuelle avec une autre personne sans son consentement) [Banque de terminologie de la Défense, fiche numéro 43247].</w:t>
            </w:r>
          </w:p>
          <w:p w14:paraId="4D6F585E" w14:textId="77777777" w:rsidR="002D5EA3" w:rsidRPr="00EC2CEE" w:rsidRDefault="002D5EA3" w:rsidP="002D5EA3">
            <w:pPr>
              <w:pStyle w:val="NoSpacing"/>
              <w:ind w:left="2270"/>
            </w:pPr>
          </w:p>
          <w:p w14:paraId="69A9C887" w14:textId="7B48F382" w:rsidR="002D5EA3" w:rsidRPr="00EC2CEE" w:rsidRDefault="002D5EA3" w:rsidP="006F65A1">
            <w:pPr>
              <w:pStyle w:val="NoSpacing"/>
              <w:ind w:left="1125" w:hanging="2"/>
            </w:pPr>
            <w:r w:rsidRPr="00EC2CEE">
              <w:rPr>
                <w:b/>
                <w:bCs/>
              </w:rPr>
              <w:t>Nota</w:t>
            </w:r>
            <w:r w:rsidRPr="00EC2CEE">
              <w:t xml:space="preserve"> – Les résumés des articles 162, 162.1 et 271 du </w:t>
            </w:r>
            <w:r w:rsidRPr="00EC2CEE">
              <w:rPr>
                <w:i/>
                <w:iCs/>
              </w:rPr>
              <w:t>Code criminel</w:t>
            </w:r>
            <w:r w:rsidRPr="00EC2CEE">
              <w:t xml:space="preserve"> ci-dessus visent uniquement à faciliter la compréhension du lectorat</w:t>
            </w:r>
            <w:r w:rsidR="00875779" w:rsidRPr="00EC2CEE">
              <w:t xml:space="preserve">. </w:t>
            </w:r>
            <w:r w:rsidRPr="00EC2CEE">
              <w:t xml:space="preserve">Veuillez vous reporter </w:t>
            </w:r>
            <w:r w:rsidRPr="00EC2CEE">
              <w:lastRenderedPageBreak/>
              <w:t xml:space="preserve">aux articles du </w:t>
            </w:r>
            <w:r w:rsidRPr="00EC2CEE">
              <w:rPr>
                <w:i/>
                <w:iCs/>
              </w:rPr>
              <w:t>Code criminel</w:t>
            </w:r>
            <w:r w:rsidRPr="00EC2CEE">
              <w:t xml:space="preserve"> pour connaître les éléments et les autres dispositions relatives à ces infractions.</w:t>
            </w:r>
          </w:p>
          <w:p w14:paraId="341B46F4" w14:textId="77777777" w:rsidR="002D5EA3" w:rsidRPr="00EC2CEE" w:rsidRDefault="002D5EA3" w:rsidP="002D5EA3">
            <w:pPr>
              <w:pStyle w:val="NoSpacing"/>
            </w:pPr>
          </w:p>
          <w:p w14:paraId="58C8AE61" w14:textId="464682C3" w:rsidR="002D5EA3" w:rsidRPr="00EC2CEE" w:rsidRDefault="002D5EA3" w:rsidP="006F65A1">
            <w:pPr>
              <w:pStyle w:val="NoSpacing"/>
              <w:ind w:left="1125"/>
              <w:rPr>
                <w:b/>
                <w:bCs/>
              </w:rPr>
            </w:pPr>
            <w:r w:rsidRPr="00EC2CEE">
              <w:rPr>
                <w:b/>
                <w:bCs/>
              </w:rPr>
              <w:t>(La définition est tirée de la DOAD 9005-1)</w:t>
            </w:r>
          </w:p>
          <w:p w14:paraId="33FB5CA4" w14:textId="23463E17" w:rsidR="002D5EA3" w:rsidRPr="00EC2CEE" w:rsidRDefault="002D5EA3" w:rsidP="002D5EA3">
            <w:pPr>
              <w:pStyle w:val="NoSpacing"/>
            </w:pPr>
          </w:p>
        </w:tc>
      </w:tr>
      <w:tr w:rsidR="00A91405" w:rsidRPr="00EC2CEE" w14:paraId="5144926D" w14:textId="77777777" w:rsidTr="00732921">
        <w:tc>
          <w:tcPr>
            <w:tcW w:w="846" w:type="dxa"/>
          </w:tcPr>
          <w:p w14:paraId="0B59047F" w14:textId="1632676A" w:rsidR="00A91405" w:rsidRPr="00EC2CEE" w:rsidRDefault="002D5EA3" w:rsidP="00DB0A79">
            <w:pPr>
              <w:pStyle w:val="NoSpacing"/>
              <w:rPr>
                <w:b/>
                <w:bCs/>
              </w:rPr>
            </w:pPr>
            <w:r w:rsidRPr="00EC2CEE">
              <w:rPr>
                <w:b/>
                <w:bCs/>
              </w:rPr>
              <w:lastRenderedPageBreak/>
              <w:t>2.2</w:t>
            </w:r>
          </w:p>
        </w:tc>
        <w:tc>
          <w:tcPr>
            <w:tcW w:w="1701" w:type="dxa"/>
          </w:tcPr>
          <w:p w14:paraId="710E3E98" w14:textId="174A6E80" w:rsidR="00A91405" w:rsidRPr="00EC2CEE" w:rsidRDefault="002D5EA3" w:rsidP="00DB0A79">
            <w:pPr>
              <w:pStyle w:val="NoSpacing"/>
              <w:rPr>
                <w:b/>
                <w:bCs/>
              </w:rPr>
            </w:pPr>
            <w:r w:rsidRPr="00EC2CEE">
              <w:rPr>
                <w:b/>
                <w:bCs/>
              </w:rPr>
              <w:t>Personne survivante, victime, personne affectée</w:t>
            </w:r>
          </w:p>
        </w:tc>
        <w:tc>
          <w:tcPr>
            <w:tcW w:w="6803" w:type="dxa"/>
          </w:tcPr>
          <w:p w14:paraId="5C5DECBE" w14:textId="6CB4BE72" w:rsidR="00A44706" w:rsidRPr="00EC2CEE" w:rsidRDefault="002D5EA3" w:rsidP="00DB0A79">
            <w:pPr>
              <w:pStyle w:val="NoSpacing"/>
              <w:rPr>
                <w:szCs w:val="24"/>
              </w:rPr>
            </w:pPr>
            <w:r w:rsidRPr="00EC2CEE">
              <w:t>Les personnes qui ont vécu une inconduite sexuelle peuvent choisir de s</w:t>
            </w:r>
            <w:r w:rsidR="00180A75" w:rsidRPr="00EC2CEE">
              <w:t>’</w:t>
            </w:r>
            <w:r w:rsidRPr="00EC2CEE">
              <w:t>identifier comme personnes survivantes, victimes ou personnes affectées. Le terme plus familier est celui de victime, qui continue d</w:t>
            </w:r>
            <w:r w:rsidR="00180A75" w:rsidRPr="00EC2CEE">
              <w:t>’</w:t>
            </w:r>
            <w:r w:rsidRPr="00EC2CEE">
              <w:t xml:space="preserve">être utilisé par les universités, le système de justice et la police; toutefois, les FAC et le MDN se dirigent vers le terme de </w:t>
            </w:r>
            <w:r w:rsidR="00180A75" w:rsidRPr="00EC2CEE">
              <w:t>«</w:t>
            </w:r>
            <w:r w:rsidRPr="00EC2CEE">
              <w:t> personne affectée </w:t>
            </w:r>
            <w:r w:rsidR="00180A75" w:rsidRPr="00EC2CEE">
              <w:t>»</w:t>
            </w:r>
            <w:r w:rsidRPr="00EC2CEE">
              <w:t xml:space="preserve">. Le présent document utilise la terminologie de </w:t>
            </w:r>
            <w:r w:rsidR="00180A75" w:rsidRPr="00EC2CEE">
              <w:t>«</w:t>
            </w:r>
            <w:r w:rsidRPr="00EC2CEE">
              <w:t> personne affectée </w:t>
            </w:r>
            <w:r w:rsidR="00180A75" w:rsidRPr="00EC2CEE">
              <w:t>»</w:t>
            </w:r>
            <w:r w:rsidRPr="00EC2CEE">
              <w:t xml:space="preserve"> ou de </w:t>
            </w:r>
            <w:r w:rsidR="00180A75" w:rsidRPr="00EC2CEE">
              <w:t>«</w:t>
            </w:r>
            <w:r w:rsidRPr="00EC2CEE">
              <w:t> victime </w:t>
            </w:r>
            <w:r w:rsidR="00180A75" w:rsidRPr="00EC2CEE">
              <w:t>»</w:t>
            </w:r>
            <w:r w:rsidRPr="00EC2CEE">
              <w:t>.</w:t>
            </w:r>
          </w:p>
          <w:p w14:paraId="4A8451D7" w14:textId="0E306EE3" w:rsidR="00A91405" w:rsidRPr="00EC2CEE" w:rsidRDefault="00A91405" w:rsidP="00DB0A79">
            <w:pPr>
              <w:pStyle w:val="NoSpacing"/>
            </w:pPr>
          </w:p>
        </w:tc>
      </w:tr>
      <w:tr w:rsidR="00A91405" w:rsidRPr="00EC2CEE" w14:paraId="4AEE0C35" w14:textId="77777777" w:rsidTr="00732921">
        <w:tc>
          <w:tcPr>
            <w:tcW w:w="846" w:type="dxa"/>
          </w:tcPr>
          <w:p w14:paraId="4EB239F6" w14:textId="2DBA2B7A" w:rsidR="00A91405" w:rsidRPr="00EC2CEE" w:rsidRDefault="00A44706" w:rsidP="00DB0A79">
            <w:pPr>
              <w:pStyle w:val="NoSpacing"/>
              <w:rPr>
                <w:b/>
                <w:bCs/>
              </w:rPr>
            </w:pPr>
            <w:r w:rsidRPr="00EC2CEE">
              <w:rPr>
                <w:b/>
                <w:bCs/>
              </w:rPr>
              <w:t>2.3</w:t>
            </w:r>
          </w:p>
        </w:tc>
        <w:tc>
          <w:tcPr>
            <w:tcW w:w="1701" w:type="dxa"/>
          </w:tcPr>
          <w:p w14:paraId="26666E75" w14:textId="206673B0" w:rsidR="00A91405" w:rsidRPr="00EC2CEE" w:rsidRDefault="00A44706" w:rsidP="00DB0A79">
            <w:pPr>
              <w:pStyle w:val="NoSpacing"/>
              <w:rPr>
                <w:b/>
                <w:bCs/>
              </w:rPr>
            </w:pPr>
            <w:r w:rsidRPr="00EC2CEE">
              <w:rPr>
                <w:b/>
                <w:bCs/>
              </w:rPr>
              <w:t>Personne intimée</w:t>
            </w:r>
          </w:p>
        </w:tc>
        <w:tc>
          <w:tcPr>
            <w:tcW w:w="6803" w:type="dxa"/>
          </w:tcPr>
          <w:p w14:paraId="0DD978B6" w14:textId="3A964916" w:rsidR="00A91405" w:rsidRPr="00EC2CEE" w:rsidRDefault="00A44706" w:rsidP="00A44706">
            <w:pPr>
              <w:pStyle w:val="NoSpacing"/>
            </w:pPr>
            <w:r w:rsidRPr="00EC2CEE">
              <w:t>Une fois qu</w:t>
            </w:r>
            <w:r w:rsidR="00180A75" w:rsidRPr="00EC2CEE">
              <w:t>’</w:t>
            </w:r>
            <w:r w:rsidRPr="00EC2CEE">
              <w:t>un rapport a été déposé par une personne affectée ou une victime, l</w:t>
            </w:r>
            <w:r w:rsidR="00180A75" w:rsidRPr="00EC2CEE">
              <w:t>’</w:t>
            </w:r>
            <w:r w:rsidRPr="00EC2CEE">
              <w:t>auteur présumé de l</w:t>
            </w:r>
            <w:r w:rsidR="00180A75" w:rsidRPr="00EC2CEE">
              <w:t>’</w:t>
            </w:r>
            <w:r w:rsidRPr="00EC2CEE">
              <w:t>incident d</w:t>
            </w:r>
            <w:r w:rsidR="00180A75" w:rsidRPr="00EC2CEE">
              <w:t>’</w:t>
            </w:r>
            <w:r w:rsidRPr="00EC2CEE">
              <w:t>inconduite sexuelle est appelé la personne intimée de la plainte.</w:t>
            </w:r>
          </w:p>
          <w:p w14:paraId="42A83B0C" w14:textId="4F4464BD" w:rsidR="00A44706" w:rsidRPr="00EC2CEE" w:rsidRDefault="00A44706" w:rsidP="00A44706">
            <w:pPr>
              <w:pStyle w:val="NoSpacing"/>
            </w:pPr>
          </w:p>
        </w:tc>
      </w:tr>
      <w:tr w:rsidR="00A91405" w:rsidRPr="00EC2CEE" w14:paraId="03B62E0F" w14:textId="77777777" w:rsidTr="00732921">
        <w:tc>
          <w:tcPr>
            <w:tcW w:w="846" w:type="dxa"/>
          </w:tcPr>
          <w:p w14:paraId="295726B8" w14:textId="79059C3B" w:rsidR="00A91405" w:rsidRPr="00EC2CEE" w:rsidRDefault="00A44706" w:rsidP="00DB0A79">
            <w:pPr>
              <w:pStyle w:val="NoSpacing"/>
              <w:rPr>
                <w:b/>
                <w:bCs/>
              </w:rPr>
            </w:pPr>
            <w:r w:rsidRPr="00EC2CEE">
              <w:rPr>
                <w:b/>
                <w:bCs/>
              </w:rPr>
              <w:t>2.4</w:t>
            </w:r>
          </w:p>
        </w:tc>
        <w:tc>
          <w:tcPr>
            <w:tcW w:w="1701" w:type="dxa"/>
          </w:tcPr>
          <w:p w14:paraId="0F75360A" w14:textId="46B24C14" w:rsidR="00A91405" w:rsidRPr="00EC2CEE" w:rsidRDefault="00A44706" w:rsidP="00DB0A79">
            <w:pPr>
              <w:pStyle w:val="NoSpacing"/>
              <w:rPr>
                <w:b/>
                <w:bCs/>
              </w:rPr>
            </w:pPr>
            <w:r w:rsidRPr="00EC2CEE">
              <w:rPr>
                <w:b/>
                <w:bCs/>
              </w:rPr>
              <w:t>Divulgation</w:t>
            </w:r>
          </w:p>
        </w:tc>
        <w:tc>
          <w:tcPr>
            <w:tcW w:w="6803" w:type="dxa"/>
          </w:tcPr>
          <w:p w14:paraId="354EEF91" w14:textId="2489DF8B" w:rsidR="00A44706" w:rsidRPr="00EC2CEE" w:rsidRDefault="00A44706" w:rsidP="00A44706">
            <w:pPr>
              <w:pStyle w:val="NoSpacing"/>
            </w:pPr>
            <w:r w:rsidRPr="00EC2CEE">
              <w:t>Révéler de façon confidentielle un incident d</w:t>
            </w:r>
            <w:r w:rsidR="00180A75" w:rsidRPr="00EC2CEE">
              <w:t>’</w:t>
            </w:r>
            <w:r w:rsidRPr="00EC2CEE">
              <w:t>inconduite sexuelle à quelqu</w:t>
            </w:r>
            <w:r w:rsidR="00180A75" w:rsidRPr="00EC2CEE">
              <w:t>’</w:t>
            </w:r>
            <w:r w:rsidRPr="00EC2CEE">
              <w:t>un en qui la personne affectée ou la victime a confiance afin de demander de l</w:t>
            </w:r>
            <w:r w:rsidR="00180A75" w:rsidRPr="00EC2CEE">
              <w:t>’</w:t>
            </w:r>
            <w:r w:rsidRPr="00EC2CEE">
              <w:t>aide ou encore de demander conseil sans porter plainte officiellement. Les personnes affectées ou les victimes ne sont pas tenues de signaler un incident d</w:t>
            </w:r>
            <w:r w:rsidR="00180A75" w:rsidRPr="00EC2CEE">
              <w:t>’</w:t>
            </w:r>
            <w:r w:rsidRPr="00EC2CEE">
              <w:t>inconduite sexuelle afin d</w:t>
            </w:r>
            <w:r w:rsidR="00180A75" w:rsidRPr="00EC2CEE">
              <w:t>’</w:t>
            </w:r>
            <w:r w:rsidRPr="00EC2CEE">
              <w:t>obtenir du soutien et des services des FAC, du MDN ou des ressources communautaires.</w:t>
            </w:r>
          </w:p>
          <w:p w14:paraId="1EA6E544" w14:textId="77777777" w:rsidR="00A91405" w:rsidRPr="00EC2CEE" w:rsidRDefault="00A91405" w:rsidP="00DB0A79">
            <w:pPr>
              <w:pStyle w:val="NoSpacing"/>
            </w:pPr>
          </w:p>
        </w:tc>
      </w:tr>
      <w:tr w:rsidR="00A91405" w:rsidRPr="00EC2CEE" w14:paraId="0FDB49A2" w14:textId="77777777" w:rsidTr="00732921">
        <w:tc>
          <w:tcPr>
            <w:tcW w:w="846" w:type="dxa"/>
          </w:tcPr>
          <w:p w14:paraId="7F11AC71" w14:textId="45D12720" w:rsidR="00A91405" w:rsidRPr="00EC2CEE" w:rsidRDefault="00A44706" w:rsidP="00DB0A79">
            <w:pPr>
              <w:pStyle w:val="NoSpacing"/>
              <w:rPr>
                <w:b/>
                <w:bCs/>
              </w:rPr>
            </w:pPr>
            <w:r w:rsidRPr="00EC2CEE">
              <w:rPr>
                <w:b/>
                <w:bCs/>
              </w:rPr>
              <w:t>2.5</w:t>
            </w:r>
          </w:p>
        </w:tc>
        <w:tc>
          <w:tcPr>
            <w:tcW w:w="1701" w:type="dxa"/>
          </w:tcPr>
          <w:p w14:paraId="641177B0" w14:textId="03F61284" w:rsidR="00A91405" w:rsidRPr="00EC2CEE" w:rsidRDefault="00A44706" w:rsidP="00DB0A79">
            <w:pPr>
              <w:pStyle w:val="NoSpacing"/>
              <w:rPr>
                <w:b/>
                <w:bCs/>
              </w:rPr>
            </w:pPr>
            <w:r w:rsidRPr="00EC2CEE">
              <w:rPr>
                <w:b/>
                <w:bCs/>
              </w:rPr>
              <w:t>Signalement</w:t>
            </w:r>
          </w:p>
        </w:tc>
        <w:tc>
          <w:tcPr>
            <w:tcW w:w="6803" w:type="dxa"/>
          </w:tcPr>
          <w:p w14:paraId="37675927" w14:textId="585198E8" w:rsidR="00A44706" w:rsidRPr="00EC2CEE" w:rsidRDefault="00A44706" w:rsidP="00A44706">
            <w:pPr>
              <w:pStyle w:val="NoSpacing"/>
            </w:pPr>
            <w:r w:rsidRPr="00EC2CEE">
              <w:t>Un processus officiel par lequel une personne affectée ou une victime signale un incident d</w:t>
            </w:r>
            <w:r w:rsidR="00180A75" w:rsidRPr="00EC2CEE">
              <w:t>’</w:t>
            </w:r>
            <w:r w:rsidRPr="00EC2CEE">
              <w:t>inconduite sexuelle à une autorité compétente (voir 2.13), sachant que ce signalement peut mener à une enquête officielle.</w:t>
            </w:r>
          </w:p>
          <w:p w14:paraId="0D2998E5" w14:textId="77777777" w:rsidR="00A91405" w:rsidRPr="00EC2CEE" w:rsidRDefault="00A91405" w:rsidP="00DB0A79">
            <w:pPr>
              <w:pStyle w:val="NoSpacing"/>
            </w:pPr>
          </w:p>
        </w:tc>
      </w:tr>
      <w:tr w:rsidR="00A44706" w:rsidRPr="00EC2CEE" w14:paraId="14C95CFC" w14:textId="77777777" w:rsidTr="00732921">
        <w:tc>
          <w:tcPr>
            <w:tcW w:w="846" w:type="dxa"/>
          </w:tcPr>
          <w:p w14:paraId="64E7C1E3" w14:textId="7146D967" w:rsidR="00A44706" w:rsidRPr="00EC2CEE" w:rsidRDefault="00A44706" w:rsidP="00DB0A79">
            <w:pPr>
              <w:pStyle w:val="NoSpacing"/>
              <w:rPr>
                <w:b/>
                <w:bCs/>
              </w:rPr>
            </w:pPr>
            <w:r w:rsidRPr="00EC2CEE">
              <w:rPr>
                <w:b/>
                <w:bCs/>
              </w:rPr>
              <w:t>2.6</w:t>
            </w:r>
          </w:p>
        </w:tc>
        <w:tc>
          <w:tcPr>
            <w:tcW w:w="1701" w:type="dxa"/>
          </w:tcPr>
          <w:p w14:paraId="2A06039F" w14:textId="5F7E3A18" w:rsidR="00A44706" w:rsidRPr="00EC2CEE" w:rsidRDefault="00A44706" w:rsidP="00DB0A79">
            <w:pPr>
              <w:pStyle w:val="NoSpacing"/>
              <w:rPr>
                <w:b/>
                <w:bCs/>
              </w:rPr>
            </w:pPr>
            <w:r w:rsidRPr="00EC2CEE">
              <w:rPr>
                <w:b/>
                <w:bCs/>
              </w:rPr>
              <w:t>Obligation de signaler</w:t>
            </w:r>
          </w:p>
        </w:tc>
        <w:tc>
          <w:tcPr>
            <w:tcW w:w="6803" w:type="dxa"/>
          </w:tcPr>
          <w:p w14:paraId="15E82D52" w14:textId="4A66C440" w:rsidR="00C910EC" w:rsidRPr="00EC2CEE" w:rsidRDefault="00C910EC" w:rsidP="00C910EC">
            <w:pPr>
              <w:pStyle w:val="NoSpacing"/>
              <w:rPr>
                <w:bCs/>
              </w:rPr>
            </w:pPr>
            <w:r w:rsidRPr="00EC2CEE">
              <w:t>Depuis le 30 juin 2024, les membres des FAC n</w:t>
            </w:r>
            <w:r w:rsidR="00180A75" w:rsidRPr="00EC2CEE">
              <w:t>’</w:t>
            </w:r>
            <w:r w:rsidRPr="00EC2CEE">
              <w:t>ont plus l</w:t>
            </w:r>
            <w:r w:rsidR="00180A75" w:rsidRPr="00EC2CEE">
              <w:t>’</w:t>
            </w:r>
            <w:r w:rsidRPr="00EC2CEE">
              <w:t>obligation de signaler les cas d</w:t>
            </w:r>
            <w:r w:rsidR="00180A75" w:rsidRPr="00EC2CEE">
              <w:t>’</w:t>
            </w:r>
            <w:r w:rsidRPr="00EC2CEE">
              <w:t>inconduite sexuelle, sauf dans les situations suivantes :</w:t>
            </w:r>
          </w:p>
          <w:p w14:paraId="071F7105" w14:textId="77777777" w:rsidR="00C910EC" w:rsidRPr="00EC2CEE" w:rsidRDefault="00C910EC" w:rsidP="00C910EC">
            <w:pPr>
              <w:pStyle w:val="NoSpacing"/>
              <w:rPr>
                <w:bCs/>
              </w:rPr>
            </w:pPr>
          </w:p>
          <w:p w14:paraId="5C3F7234" w14:textId="4ACEC722" w:rsidR="00C910EC" w:rsidRPr="00EC2CEE" w:rsidRDefault="00C910EC" w:rsidP="00C910EC">
            <w:pPr>
              <w:pStyle w:val="NoSpacing"/>
              <w:numPr>
                <w:ilvl w:val="0"/>
                <w:numId w:val="34"/>
              </w:numPr>
              <w:rPr>
                <w:bCs/>
              </w:rPr>
            </w:pPr>
            <w:r w:rsidRPr="00EC2CEE">
              <w:t>Il y a des raisons de penser qu</w:t>
            </w:r>
            <w:r w:rsidR="00180A75" w:rsidRPr="00EC2CEE">
              <w:t>’</w:t>
            </w:r>
            <w:r w:rsidRPr="00EC2CEE">
              <w:t>une personne peut constituer une menace pour elle-même ou pour autrui.</w:t>
            </w:r>
          </w:p>
          <w:p w14:paraId="090D273C" w14:textId="202E1879" w:rsidR="00C910EC" w:rsidRPr="00EC2CEE" w:rsidRDefault="00C910EC" w:rsidP="00C910EC">
            <w:pPr>
              <w:pStyle w:val="NoSpacing"/>
              <w:numPr>
                <w:ilvl w:val="0"/>
                <w:numId w:val="34"/>
              </w:numPr>
              <w:rPr>
                <w:bCs/>
              </w:rPr>
            </w:pPr>
            <w:r w:rsidRPr="00EC2CEE">
              <w:t>Il y a des indications de maltraitance d</w:t>
            </w:r>
            <w:r w:rsidR="00180A75" w:rsidRPr="00EC2CEE">
              <w:t>’</w:t>
            </w:r>
            <w:r w:rsidRPr="00EC2CEE">
              <w:t>un enfant ou d</w:t>
            </w:r>
            <w:r w:rsidR="00180A75" w:rsidRPr="00EC2CEE">
              <w:t>’</w:t>
            </w:r>
            <w:r w:rsidRPr="00EC2CEE">
              <w:t>une personne vulnérable.</w:t>
            </w:r>
          </w:p>
          <w:p w14:paraId="2F1D03CC" w14:textId="77777777" w:rsidR="00C910EC" w:rsidRPr="00EC2CEE" w:rsidRDefault="00C910EC" w:rsidP="00C910EC">
            <w:pPr>
              <w:pStyle w:val="NoSpacing"/>
              <w:rPr>
                <w:bCs/>
              </w:rPr>
            </w:pPr>
          </w:p>
          <w:p w14:paraId="41F60C71" w14:textId="4D63EC13" w:rsidR="00A44706" w:rsidRPr="00EC2CEE" w:rsidRDefault="00A44706" w:rsidP="00A44706">
            <w:pPr>
              <w:pStyle w:val="NoSpacing"/>
            </w:pPr>
            <w:r w:rsidRPr="00EC2CEE">
              <w:t>Se reporter à la DOAD 9005-1, Intervention en cas d</w:t>
            </w:r>
            <w:r w:rsidR="00180A75" w:rsidRPr="00EC2CEE">
              <w:t>’</w:t>
            </w:r>
            <w:r w:rsidRPr="00EC2CEE">
              <w:t>inconduite sexuelle et à l</w:t>
            </w:r>
            <w:r w:rsidR="00180A75" w:rsidRPr="00EC2CEE">
              <w:t>’</w:t>
            </w:r>
            <w:r w:rsidRPr="00EC2CEE">
              <w:t>arbre décisionnel pour la gestion d</w:t>
            </w:r>
            <w:r w:rsidR="00180A75" w:rsidRPr="00EC2CEE">
              <w:t>’</w:t>
            </w:r>
            <w:r w:rsidRPr="00EC2CEE">
              <w:t>incident lié à une inconduite sexuelle à l</w:t>
            </w:r>
            <w:r w:rsidR="00180A75" w:rsidRPr="00EC2CEE">
              <w:t>’</w:t>
            </w:r>
            <w:r w:rsidRPr="00EC2CEE">
              <w:t xml:space="preserve">adresse </w:t>
            </w:r>
            <w:hyperlink r:id="rId12" w:history="1">
              <w:r w:rsidRPr="00EC2CEE">
                <w:rPr>
                  <w:rStyle w:val="Hyperlink"/>
                </w:rPr>
                <w:t>https://www.canada.ca/fr/ministere-defense-nationale/services/avantages-militaires/conflits-</w:t>
              </w:r>
              <w:r w:rsidRPr="00EC2CEE">
                <w:rPr>
                  <w:rStyle w:val="Hyperlink"/>
                </w:rPr>
                <w:lastRenderedPageBreak/>
                <w:t>inconduite/inconduite-sexuelle/ordonnances-politiques-directives/arbre-decisionnel.html</w:t>
              </w:r>
            </w:hyperlink>
            <w:r w:rsidRPr="00EC2CEE">
              <w:t xml:space="preserve"> pour obtenir des renseignements sur la façon de réagir à un signalement.</w:t>
            </w:r>
          </w:p>
          <w:p w14:paraId="43C5C2A7" w14:textId="77777777" w:rsidR="00A44706" w:rsidRPr="00EC2CEE" w:rsidRDefault="00A44706" w:rsidP="00DB0A79">
            <w:pPr>
              <w:pStyle w:val="NoSpacing"/>
            </w:pPr>
          </w:p>
        </w:tc>
      </w:tr>
      <w:tr w:rsidR="00A44706" w:rsidRPr="00EC2CEE" w14:paraId="71680288" w14:textId="77777777" w:rsidTr="00732921">
        <w:tc>
          <w:tcPr>
            <w:tcW w:w="846" w:type="dxa"/>
          </w:tcPr>
          <w:p w14:paraId="381D4402" w14:textId="55C48D80" w:rsidR="00A44706" w:rsidRPr="00EC2CEE" w:rsidRDefault="00A44706" w:rsidP="00DB0A79">
            <w:pPr>
              <w:pStyle w:val="NoSpacing"/>
              <w:rPr>
                <w:rFonts w:cs="Times New Roman"/>
                <w:b/>
                <w:bCs/>
                <w:szCs w:val="24"/>
              </w:rPr>
            </w:pPr>
            <w:r w:rsidRPr="00EC2CEE">
              <w:rPr>
                <w:b/>
                <w:bCs/>
                <w:szCs w:val="24"/>
              </w:rPr>
              <w:lastRenderedPageBreak/>
              <w:t>2.7</w:t>
            </w:r>
          </w:p>
        </w:tc>
        <w:tc>
          <w:tcPr>
            <w:tcW w:w="1701" w:type="dxa"/>
          </w:tcPr>
          <w:p w14:paraId="55C6D745" w14:textId="66BDB72E" w:rsidR="00A44706" w:rsidRPr="00EC2CEE" w:rsidRDefault="00A44706" w:rsidP="00DB0A79">
            <w:pPr>
              <w:pStyle w:val="NoSpacing"/>
              <w:rPr>
                <w:rFonts w:cs="Times New Roman"/>
                <w:b/>
                <w:bCs/>
                <w:szCs w:val="24"/>
              </w:rPr>
            </w:pPr>
            <w:r w:rsidRPr="00EC2CEE">
              <w:rPr>
                <w:b/>
                <w:bCs/>
                <w:szCs w:val="24"/>
              </w:rPr>
              <w:t>Consentement</w:t>
            </w:r>
          </w:p>
        </w:tc>
        <w:tc>
          <w:tcPr>
            <w:tcW w:w="6803" w:type="dxa"/>
          </w:tcPr>
          <w:p w14:paraId="5DDE11DC" w14:textId="0D646F0B" w:rsidR="00A44706" w:rsidRPr="00EC2CEE" w:rsidRDefault="00A44706" w:rsidP="00A44706">
            <w:pPr>
              <w:pStyle w:val="NoSpacing"/>
              <w:rPr>
                <w:rFonts w:cs="Times New Roman"/>
                <w:szCs w:val="24"/>
              </w:rPr>
            </w:pPr>
            <w:r w:rsidRPr="00EC2CEE">
              <w:t>Dans le contexte de l</w:t>
            </w:r>
            <w:r w:rsidR="00180A75" w:rsidRPr="00EC2CEE">
              <w:t>’</w:t>
            </w:r>
            <w:r w:rsidRPr="00EC2CEE">
              <w:t>inconduite sexuelle, le consentement est l</w:t>
            </w:r>
            <w:r w:rsidR="00180A75" w:rsidRPr="00EC2CEE">
              <w:t>’</w:t>
            </w:r>
            <w:r w:rsidRPr="00EC2CEE">
              <w:t>accord clair, volontaire, continu et enthousiaste de se livrer à une activité sexuelle qui est accordé sans l</w:t>
            </w:r>
            <w:r w:rsidR="00180A75" w:rsidRPr="00EC2CEE">
              <w:t>’</w:t>
            </w:r>
            <w:r w:rsidRPr="00EC2CEE">
              <w:t>influence de la force, des menaces, de la peur, de la fraude ou de l</w:t>
            </w:r>
            <w:r w:rsidR="00180A75" w:rsidRPr="00EC2CEE">
              <w:t>’</w:t>
            </w:r>
            <w:r w:rsidRPr="00EC2CEE">
              <w:t>abus de pouvoir. C</w:t>
            </w:r>
            <w:r w:rsidR="00180A75" w:rsidRPr="00EC2CEE">
              <w:t>’</w:t>
            </w:r>
            <w:r w:rsidRPr="00EC2CEE">
              <w:t>est l</w:t>
            </w:r>
            <w:r w:rsidR="00180A75" w:rsidRPr="00EC2CEE">
              <w:t>’</w:t>
            </w:r>
            <w:r w:rsidRPr="00EC2CEE">
              <w:t>acte d</w:t>
            </w:r>
            <w:r w:rsidR="00180A75" w:rsidRPr="00EC2CEE">
              <w:t>’</w:t>
            </w:r>
            <w:r w:rsidRPr="00EC2CEE">
              <w:t>accepter volontairement de s</w:t>
            </w:r>
            <w:r w:rsidR="00180A75" w:rsidRPr="00EC2CEE">
              <w:t>’</w:t>
            </w:r>
            <w:r w:rsidRPr="00EC2CEE">
              <w:t>engager dans des comportements sexuels précis et il exige qu</w:t>
            </w:r>
            <w:r w:rsidR="00180A75" w:rsidRPr="00EC2CEE">
              <w:t>’</w:t>
            </w:r>
            <w:r w:rsidRPr="00EC2CEE">
              <w:t>une personne puisse choisir librement entre deux options : oui et non. Cela signifie que la personne doit être disposée à prendre part à une activité sexuelle d</w:t>
            </w:r>
            <w:r w:rsidR="00180A75" w:rsidRPr="00EC2CEE">
              <w:t>’</w:t>
            </w:r>
            <w:r w:rsidRPr="00EC2CEE">
              <w:t>un commun accord et que l</w:t>
            </w:r>
            <w:r w:rsidR="00180A75" w:rsidRPr="00EC2CEE">
              <w:t>’</w:t>
            </w:r>
            <w:r w:rsidRPr="00EC2CEE">
              <w:t>existence de cet accord ne peut pas être présumée. La liste qui suit est essentielle pour comprendre la notion de consentement :</w:t>
            </w:r>
          </w:p>
          <w:p w14:paraId="1E9CBE49" w14:textId="7C4729A4" w:rsidR="00A44706" w:rsidRPr="00EC2CEE" w:rsidRDefault="00A44706" w:rsidP="00A44706">
            <w:pPr>
              <w:pStyle w:val="NoSpacing"/>
              <w:rPr>
                <w:rFonts w:cs="Times New Roman"/>
                <w:szCs w:val="24"/>
              </w:rPr>
            </w:pPr>
          </w:p>
          <w:p w14:paraId="7E9B3BD9" w14:textId="577947DC" w:rsidR="00C52DB5" w:rsidRPr="00EC2CEE" w:rsidRDefault="00A44706" w:rsidP="00C52DB5">
            <w:pPr>
              <w:pStyle w:val="NoSpacing"/>
              <w:numPr>
                <w:ilvl w:val="0"/>
                <w:numId w:val="19"/>
              </w:numPr>
            </w:pPr>
            <w:r w:rsidRPr="00EC2CEE">
              <w:t>le silence ou une non-communication ne doit pas être interprété comme un consentement, et une personne dont le discernement est réduit ne peut pas donner son consentement;</w:t>
            </w:r>
          </w:p>
          <w:p w14:paraId="331F6BDA" w14:textId="77777777" w:rsidR="00405353" w:rsidRPr="00EC2CEE" w:rsidRDefault="00405353" w:rsidP="00405353">
            <w:pPr>
              <w:pStyle w:val="NoSpacing"/>
              <w:ind w:left="720"/>
            </w:pPr>
          </w:p>
          <w:p w14:paraId="79EE4905" w14:textId="1BFD85A4" w:rsidR="00405353" w:rsidRPr="00EC2CEE" w:rsidRDefault="00A44706" w:rsidP="00405353">
            <w:pPr>
              <w:pStyle w:val="NoSpacing"/>
              <w:numPr>
                <w:ilvl w:val="0"/>
                <w:numId w:val="19"/>
              </w:numPr>
            </w:pPr>
            <w:r w:rsidRPr="00EC2CEE">
              <w:t>une personne est incapable de donner son consentement si elle dort, si elle est inconsciente ou si elle est autrement incapable de communiquer;</w:t>
            </w:r>
          </w:p>
          <w:p w14:paraId="7B4A360C" w14:textId="77777777" w:rsidR="00405353" w:rsidRPr="00EC2CEE" w:rsidRDefault="00405353" w:rsidP="00405353">
            <w:pPr>
              <w:pStyle w:val="NoSpacing"/>
              <w:ind w:left="720"/>
            </w:pPr>
          </w:p>
          <w:p w14:paraId="571188E4" w14:textId="256BF66E" w:rsidR="00405353" w:rsidRPr="00EC2CEE" w:rsidRDefault="00A44706" w:rsidP="00405353">
            <w:pPr>
              <w:pStyle w:val="NoSpacing"/>
              <w:numPr>
                <w:ilvl w:val="0"/>
                <w:numId w:val="19"/>
              </w:numPr>
            </w:pPr>
            <w:r w:rsidRPr="00EC2CEE">
              <w:t>une personne qui a été menacée ou contrainte (c</w:t>
            </w:r>
            <w:r w:rsidR="00180A75" w:rsidRPr="00EC2CEE">
              <w:t>’</w:t>
            </w:r>
            <w:r w:rsidRPr="00EC2CEE">
              <w:t>est-à-dire qu</w:t>
            </w:r>
            <w:r w:rsidR="00180A75" w:rsidRPr="00EC2CEE">
              <w:t>’</w:t>
            </w:r>
            <w:r w:rsidRPr="00EC2CEE">
              <w:t>elle n</w:t>
            </w:r>
            <w:r w:rsidR="00180A75" w:rsidRPr="00EC2CEE">
              <w:t>’</w:t>
            </w:r>
            <w:r w:rsidRPr="00EC2CEE">
              <w:t>accepte pas de plein gré) à se livrer à l</w:t>
            </w:r>
            <w:r w:rsidR="00180A75" w:rsidRPr="00EC2CEE">
              <w:t>’</w:t>
            </w:r>
            <w:r w:rsidRPr="00EC2CEE">
              <w:t>activité sexuelle ne consent pas à l</w:t>
            </w:r>
            <w:r w:rsidR="00180A75" w:rsidRPr="00EC2CEE">
              <w:t>’</w:t>
            </w:r>
            <w:r w:rsidRPr="00EC2CEE">
              <w:t>activité;</w:t>
            </w:r>
          </w:p>
          <w:p w14:paraId="0312464F" w14:textId="77777777" w:rsidR="00405353" w:rsidRPr="00EC2CEE" w:rsidRDefault="00405353" w:rsidP="00405353">
            <w:pPr>
              <w:pStyle w:val="NoSpacing"/>
              <w:ind w:left="720"/>
            </w:pPr>
          </w:p>
          <w:p w14:paraId="56F64649" w14:textId="6104C02D" w:rsidR="00405353" w:rsidRPr="00EC2CEE" w:rsidRDefault="00A44706" w:rsidP="00405353">
            <w:pPr>
              <w:pStyle w:val="NoSpacing"/>
              <w:numPr>
                <w:ilvl w:val="0"/>
                <w:numId w:val="19"/>
              </w:numPr>
            </w:pPr>
            <w:r w:rsidRPr="00EC2CEE">
              <w:t>une personne peut être incapable de donner son consentement lorsqu</w:t>
            </w:r>
            <w:r w:rsidR="00180A75" w:rsidRPr="00EC2CEE">
              <w:t>’</w:t>
            </w:r>
            <w:r w:rsidRPr="00EC2CEE">
              <w:t>elle est sous l</w:t>
            </w:r>
            <w:r w:rsidR="00180A75" w:rsidRPr="00EC2CEE">
              <w:t>’</w:t>
            </w:r>
            <w:r w:rsidRPr="00EC2CEE">
              <w:t>influence de l</w:t>
            </w:r>
            <w:r w:rsidR="00180A75" w:rsidRPr="00EC2CEE">
              <w:t>’</w:t>
            </w:r>
            <w:r w:rsidRPr="00EC2CEE">
              <w:t>alcool ou de drogues</w:t>
            </w:r>
            <w:r w:rsidR="00875779" w:rsidRPr="00EC2CEE">
              <w:t>;</w:t>
            </w:r>
          </w:p>
          <w:p w14:paraId="3627E30D" w14:textId="77777777" w:rsidR="00405353" w:rsidRPr="00EC2CEE" w:rsidRDefault="00405353" w:rsidP="00405353">
            <w:pPr>
              <w:pStyle w:val="NoSpacing"/>
              <w:ind w:left="720"/>
            </w:pPr>
          </w:p>
          <w:p w14:paraId="65775107" w14:textId="18E12DDA" w:rsidR="00405353" w:rsidRPr="00EC2CEE" w:rsidRDefault="00A44706" w:rsidP="00405353">
            <w:pPr>
              <w:pStyle w:val="NoSpacing"/>
              <w:numPr>
                <w:ilvl w:val="0"/>
                <w:numId w:val="19"/>
              </w:numPr>
            </w:pPr>
            <w:r w:rsidRPr="00EC2CEE">
              <w:t>une personne peut être incapable de donner son consentement si elle est atteinte d</w:t>
            </w:r>
            <w:r w:rsidR="00180A75" w:rsidRPr="00EC2CEE">
              <w:t>’</w:t>
            </w:r>
            <w:r w:rsidRPr="00EC2CEE">
              <w:t>une incapacité mentale qui l</w:t>
            </w:r>
            <w:r w:rsidR="00180A75" w:rsidRPr="00EC2CEE">
              <w:t>’</w:t>
            </w:r>
            <w:r w:rsidRPr="00EC2CEE">
              <w:t>empêche de pleinement comprendre les actes sexuels;</w:t>
            </w:r>
          </w:p>
          <w:p w14:paraId="76EC3A65" w14:textId="77777777" w:rsidR="00405353" w:rsidRPr="00EC2CEE" w:rsidRDefault="00405353" w:rsidP="00405353">
            <w:pPr>
              <w:pStyle w:val="NoSpacing"/>
              <w:ind w:left="720"/>
            </w:pPr>
          </w:p>
          <w:p w14:paraId="04D7D6C3" w14:textId="0E4D6D9F" w:rsidR="00405353" w:rsidRPr="00EC2CEE" w:rsidRDefault="00A44706" w:rsidP="00405353">
            <w:pPr>
              <w:pStyle w:val="NoSpacing"/>
              <w:numPr>
                <w:ilvl w:val="0"/>
                <w:numId w:val="19"/>
              </w:numPr>
            </w:pPr>
            <w:r w:rsidRPr="00EC2CEE">
              <w:t>le fait qu</w:t>
            </w:r>
            <w:r w:rsidR="00180A75" w:rsidRPr="00EC2CEE">
              <w:t>’</w:t>
            </w:r>
            <w:r w:rsidRPr="00EC2CEE">
              <w:t>un consentement a été donné dans le passé concernant une activité sexuelle ou des fréquentations ne signifie pas que le consentement est toujours en vigueur ou qu</w:t>
            </w:r>
            <w:r w:rsidR="00180A75" w:rsidRPr="00EC2CEE">
              <w:t>’</w:t>
            </w:r>
            <w:r w:rsidRPr="00EC2CEE">
              <w:t>il s</w:t>
            </w:r>
            <w:r w:rsidR="00180A75" w:rsidRPr="00EC2CEE">
              <w:t>’</w:t>
            </w:r>
            <w:r w:rsidRPr="00EC2CEE">
              <w:t>applique aux futures activités sexuelles</w:t>
            </w:r>
            <w:r w:rsidR="00875779" w:rsidRPr="00EC2CEE">
              <w:t>;</w:t>
            </w:r>
          </w:p>
          <w:p w14:paraId="2CD3518B" w14:textId="77777777" w:rsidR="00405353" w:rsidRPr="00EC2CEE" w:rsidRDefault="00405353" w:rsidP="00405353">
            <w:pPr>
              <w:pStyle w:val="NoSpacing"/>
              <w:ind w:left="720"/>
            </w:pPr>
          </w:p>
          <w:p w14:paraId="43160D0D" w14:textId="48F34869" w:rsidR="00405353" w:rsidRPr="00EC2CEE" w:rsidRDefault="00A44706" w:rsidP="00405353">
            <w:pPr>
              <w:pStyle w:val="NoSpacing"/>
              <w:numPr>
                <w:ilvl w:val="0"/>
                <w:numId w:val="19"/>
              </w:numPr>
            </w:pPr>
            <w:r w:rsidRPr="00EC2CEE">
              <w:t>une personne peut retirer son consentement à n</w:t>
            </w:r>
            <w:r w:rsidR="00180A75" w:rsidRPr="00EC2CEE">
              <w:t>’</w:t>
            </w:r>
            <w:r w:rsidRPr="00EC2CEE">
              <w:t>importe quel moment durant une relation sexuelle;</w:t>
            </w:r>
          </w:p>
          <w:p w14:paraId="19C1E557" w14:textId="77777777" w:rsidR="00405353" w:rsidRPr="00EC2CEE" w:rsidRDefault="00405353" w:rsidP="00405353">
            <w:pPr>
              <w:pStyle w:val="NoSpacing"/>
              <w:ind w:left="720"/>
            </w:pPr>
          </w:p>
          <w:p w14:paraId="2B1F078E" w14:textId="4B73161F" w:rsidR="00405353" w:rsidRPr="00EC2CEE" w:rsidRDefault="00A44706" w:rsidP="00405353">
            <w:pPr>
              <w:pStyle w:val="NoSpacing"/>
              <w:numPr>
                <w:ilvl w:val="0"/>
                <w:numId w:val="19"/>
              </w:numPr>
            </w:pPr>
            <w:r w:rsidRPr="00EC2CEE">
              <w:t>il n</w:t>
            </w:r>
            <w:r w:rsidR="00180A75" w:rsidRPr="00EC2CEE">
              <w:t>’</w:t>
            </w:r>
            <w:r w:rsidRPr="00EC2CEE">
              <w:t>y a pas de consentement si une relation sexuelle est le résultat d</w:t>
            </w:r>
            <w:r w:rsidR="00180A75" w:rsidRPr="00EC2CEE">
              <w:t>’</w:t>
            </w:r>
            <w:r w:rsidRPr="00EC2CEE">
              <w:t>un abus de pouvoir ou d</w:t>
            </w:r>
            <w:r w:rsidR="00180A75" w:rsidRPr="00EC2CEE">
              <w:t>’</w:t>
            </w:r>
            <w:r w:rsidRPr="00EC2CEE">
              <w:t>autorité de la part d</w:t>
            </w:r>
            <w:r w:rsidR="00180A75" w:rsidRPr="00EC2CEE">
              <w:t>’</w:t>
            </w:r>
            <w:r w:rsidRPr="00EC2CEE">
              <w:t>une personne telle qu</w:t>
            </w:r>
            <w:r w:rsidR="00180A75" w:rsidRPr="00EC2CEE">
              <w:t>’</w:t>
            </w:r>
            <w:r w:rsidRPr="00EC2CEE">
              <w:t>un membre du corps professoral, un superviseur ou une personne occupant un poste supérieur qui est dans une situation de confiance, de pouvoir ou d</w:t>
            </w:r>
            <w:r w:rsidR="00180A75" w:rsidRPr="00EC2CEE">
              <w:t>’</w:t>
            </w:r>
            <w:r w:rsidRPr="00EC2CEE">
              <w:t>autorité</w:t>
            </w:r>
            <w:r w:rsidR="00875779" w:rsidRPr="00EC2CEE">
              <w:t>;</w:t>
            </w:r>
          </w:p>
          <w:p w14:paraId="00BF820E" w14:textId="77777777" w:rsidR="00405353" w:rsidRPr="00EC2CEE" w:rsidRDefault="00405353" w:rsidP="00405353">
            <w:pPr>
              <w:pStyle w:val="NoSpacing"/>
              <w:ind w:left="720"/>
            </w:pPr>
          </w:p>
          <w:p w14:paraId="0B64BD18" w14:textId="1924874B" w:rsidR="00405353" w:rsidRPr="00EC2CEE" w:rsidRDefault="00A44706" w:rsidP="00405353">
            <w:pPr>
              <w:pStyle w:val="NoSpacing"/>
              <w:numPr>
                <w:ilvl w:val="0"/>
                <w:numId w:val="19"/>
              </w:numPr>
            </w:pPr>
            <w:r w:rsidRPr="00EC2CEE">
              <w:t>le consentement ne peut pas être donné au nom d</w:t>
            </w:r>
            <w:r w:rsidR="00180A75" w:rsidRPr="00EC2CEE">
              <w:t>’</w:t>
            </w:r>
            <w:r w:rsidRPr="00EC2CEE">
              <w:t>une autre personne;</w:t>
            </w:r>
          </w:p>
          <w:p w14:paraId="17138BA8" w14:textId="77777777" w:rsidR="00405353" w:rsidRPr="00EC2CEE" w:rsidRDefault="00405353" w:rsidP="00405353">
            <w:pPr>
              <w:pStyle w:val="NoSpacing"/>
              <w:ind w:left="720"/>
            </w:pPr>
          </w:p>
          <w:p w14:paraId="1BC63A7C" w14:textId="29670E88" w:rsidR="00A44706" w:rsidRPr="00EC2CEE" w:rsidRDefault="00A44706" w:rsidP="00405353">
            <w:pPr>
              <w:pStyle w:val="NoSpacing"/>
              <w:numPr>
                <w:ilvl w:val="0"/>
                <w:numId w:val="19"/>
              </w:numPr>
            </w:pPr>
            <w:r w:rsidRPr="00EC2CEE">
              <w:t>il incombe à la personne qui est à l</w:t>
            </w:r>
            <w:r w:rsidR="00180A75" w:rsidRPr="00EC2CEE">
              <w:t>’</w:t>
            </w:r>
            <w:r w:rsidRPr="00EC2CEE">
              <w:t>origine de l</w:t>
            </w:r>
            <w:r w:rsidR="00180A75" w:rsidRPr="00EC2CEE">
              <w:t>’</w:t>
            </w:r>
            <w:r w:rsidRPr="00EC2CEE">
              <w:t>activité sexuelle de s</w:t>
            </w:r>
            <w:r w:rsidR="00180A75" w:rsidRPr="00EC2CEE">
              <w:t>’</w:t>
            </w:r>
            <w:r w:rsidRPr="00EC2CEE">
              <w:t>assurer que le consentement est accordé à tous les stades d</w:t>
            </w:r>
            <w:r w:rsidR="00180A75" w:rsidRPr="00EC2CEE">
              <w:t>’</w:t>
            </w:r>
            <w:r w:rsidRPr="00EC2CEE">
              <w:t>une relation sexuelle.</w:t>
            </w:r>
          </w:p>
          <w:p w14:paraId="57C95385" w14:textId="77777777" w:rsidR="00405353" w:rsidRPr="00EC2CEE" w:rsidRDefault="00405353" w:rsidP="00405353">
            <w:pPr>
              <w:pStyle w:val="NoSpacing"/>
              <w:ind w:left="720"/>
            </w:pPr>
          </w:p>
          <w:p w14:paraId="1EBE5F2C" w14:textId="5320560B" w:rsidR="00A44706" w:rsidRPr="00EC2CEE" w:rsidRDefault="00A44706" w:rsidP="00A44706">
            <w:pPr>
              <w:pStyle w:val="NoSpacing"/>
              <w:rPr>
                <w:rFonts w:cs="Times New Roman"/>
                <w:szCs w:val="24"/>
              </w:rPr>
            </w:pPr>
            <w:r w:rsidRPr="00EC2CEE">
              <w:t>Le CMR respecte le droit des personnes de former des relations personnelles conformément à la DOAD 5019-1, Relations personnelles et fraternisation. Toutefois, si une relation personnelle, en particulier une relation non déclarée à la chaîne de commandement, comporte des différences de grade, d</w:t>
            </w:r>
            <w:r w:rsidR="00180A75" w:rsidRPr="00EC2CEE">
              <w:t>’</w:t>
            </w:r>
            <w:r w:rsidRPr="00EC2CEE">
              <w:t>autorité et de pouvoir, elle remet en question la nature consensuelle de la relation.</w:t>
            </w:r>
          </w:p>
          <w:p w14:paraId="0855D056" w14:textId="77777777" w:rsidR="00A44706" w:rsidRPr="00EC2CEE" w:rsidRDefault="00A44706" w:rsidP="00A44706">
            <w:pPr>
              <w:pStyle w:val="NoSpacing"/>
              <w:rPr>
                <w:rFonts w:cs="Times New Roman"/>
                <w:szCs w:val="24"/>
              </w:rPr>
            </w:pPr>
          </w:p>
          <w:p w14:paraId="5F26334E" w14:textId="6482C888" w:rsidR="00A44706" w:rsidRPr="00EC2CEE" w:rsidRDefault="00A44706" w:rsidP="00A44706">
            <w:pPr>
              <w:pStyle w:val="NoSpacing"/>
              <w:rPr>
                <w:rFonts w:cs="Times New Roman"/>
                <w:szCs w:val="24"/>
              </w:rPr>
            </w:pPr>
            <w:r w:rsidRPr="00EC2CEE">
              <w:t>Les questions concernant le consentement peuvent survenir dans le contexte des relations où il y a un déséquilibre de pouvoir, par exemple, entre le personnel militaire qui est d</w:t>
            </w:r>
            <w:r w:rsidR="00180A75" w:rsidRPr="00EC2CEE">
              <w:t>’</w:t>
            </w:r>
            <w:r w:rsidRPr="00EC2CEE">
              <w:t xml:space="preserve">un grade différent ou entre les civils où il existe une relation superviseur-subordonné. De plus, les relations personnelles entre les militaires devraient être correctement divulguées conformément à la DOAD 5019-1, Relations personnelles et </w:t>
            </w:r>
            <w:sdt>
              <w:sdtPr>
                <w:rPr>
                  <w:rFonts w:cs="Times New Roman"/>
                  <w:szCs w:val="24"/>
                </w:rPr>
                <w:tag w:val="goog_rdk_6"/>
                <w:id w:val="-836383048"/>
              </w:sdtPr>
              <w:sdtEndPr/>
              <w:sdtContent/>
            </w:sdt>
            <w:r w:rsidRPr="00EC2CEE">
              <w:t>fraternisation.</w:t>
            </w:r>
          </w:p>
          <w:p w14:paraId="483D440A" w14:textId="77777777" w:rsidR="00A44706" w:rsidRPr="00EC2CEE" w:rsidRDefault="00A44706" w:rsidP="00DB0A79">
            <w:pPr>
              <w:pStyle w:val="NoSpacing"/>
              <w:rPr>
                <w:rFonts w:cs="Times New Roman"/>
                <w:szCs w:val="24"/>
              </w:rPr>
            </w:pPr>
          </w:p>
        </w:tc>
      </w:tr>
      <w:tr w:rsidR="00A44706" w:rsidRPr="00EC2CEE" w14:paraId="75F296BA" w14:textId="77777777" w:rsidTr="00732921">
        <w:tc>
          <w:tcPr>
            <w:tcW w:w="846" w:type="dxa"/>
          </w:tcPr>
          <w:p w14:paraId="53B78215" w14:textId="00690781" w:rsidR="00A44706" w:rsidRPr="00EC2CEE" w:rsidRDefault="00405353" w:rsidP="00DB0A79">
            <w:pPr>
              <w:pStyle w:val="NoSpacing"/>
              <w:rPr>
                <w:rFonts w:cs="Times New Roman"/>
                <w:b/>
                <w:bCs/>
                <w:szCs w:val="24"/>
              </w:rPr>
            </w:pPr>
            <w:r w:rsidRPr="00EC2CEE">
              <w:rPr>
                <w:b/>
                <w:bCs/>
                <w:szCs w:val="24"/>
              </w:rPr>
              <w:lastRenderedPageBreak/>
              <w:t>2.8</w:t>
            </w:r>
          </w:p>
        </w:tc>
        <w:tc>
          <w:tcPr>
            <w:tcW w:w="1701" w:type="dxa"/>
          </w:tcPr>
          <w:p w14:paraId="4206338C" w14:textId="51352CB6" w:rsidR="00A44706" w:rsidRPr="00EC2CEE" w:rsidRDefault="00405353" w:rsidP="00DB0A79">
            <w:pPr>
              <w:pStyle w:val="NoSpacing"/>
              <w:rPr>
                <w:rFonts w:cs="Times New Roman"/>
                <w:b/>
                <w:bCs/>
                <w:szCs w:val="24"/>
              </w:rPr>
            </w:pPr>
            <w:r w:rsidRPr="00EC2CEE">
              <w:rPr>
                <w:b/>
                <w:bCs/>
                <w:szCs w:val="24"/>
              </w:rPr>
              <w:t>Agent responsable</w:t>
            </w:r>
          </w:p>
        </w:tc>
        <w:tc>
          <w:tcPr>
            <w:tcW w:w="6803" w:type="dxa"/>
          </w:tcPr>
          <w:p w14:paraId="7B100F1E" w14:textId="5A180BD7" w:rsidR="00A44706" w:rsidRPr="00EC2CEE" w:rsidRDefault="00405353" w:rsidP="00DB0A79">
            <w:pPr>
              <w:pStyle w:val="NoSpacing"/>
              <w:rPr>
                <w:rFonts w:cs="Times New Roman"/>
                <w:szCs w:val="24"/>
              </w:rPr>
            </w:pPr>
            <w:r w:rsidRPr="00EC2CEE">
              <w:t>Les membres des Forces armées canadiennes ont la responsabilité de la gestion et du leadership pour s</w:t>
            </w:r>
            <w:r w:rsidR="00180A75" w:rsidRPr="00EC2CEE">
              <w:t>’</w:t>
            </w:r>
            <w:r w:rsidRPr="00EC2CEE">
              <w:t>assurer que les militaires travaillent dans un milieu de travail exempt de harcèlement</w:t>
            </w:r>
            <w:r w:rsidR="00875779" w:rsidRPr="00EC2CEE">
              <w:t xml:space="preserve">. </w:t>
            </w:r>
            <w:r w:rsidRPr="00EC2CEE">
              <w:t>La prévention du harcèlement fait partie intégrante du rôle de leadership et de gestion de l</w:t>
            </w:r>
            <w:r w:rsidR="00180A75" w:rsidRPr="00EC2CEE">
              <w:t>’</w:t>
            </w:r>
            <w:r w:rsidRPr="00EC2CEE">
              <w:t>agent responsable</w:t>
            </w:r>
            <w:r w:rsidR="00875779" w:rsidRPr="00EC2CEE">
              <w:t xml:space="preserve">. </w:t>
            </w:r>
            <w:r w:rsidRPr="00EC2CEE">
              <w:t>Au CMR, le commandant, le commandant adjoint, le directeur des cadets et le directeur des sciences militaires appliquées sont tous des agents responsables.</w:t>
            </w:r>
          </w:p>
          <w:p w14:paraId="02F46C7D" w14:textId="139FF894" w:rsidR="00405353" w:rsidRPr="00EC2CEE" w:rsidRDefault="00405353" w:rsidP="00DB0A79">
            <w:pPr>
              <w:pStyle w:val="NoSpacing"/>
              <w:rPr>
                <w:rFonts w:cs="Times New Roman"/>
                <w:szCs w:val="24"/>
              </w:rPr>
            </w:pPr>
          </w:p>
        </w:tc>
      </w:tr>
      <w:tr w:rsidR="00A44706" w:rsidRPr="00EC2CEE" w14:paraId="586700E3" w14:textId="77777777" w:rsidTr="00732921">
        <w:tc>
          <w:tcPr>
            <w:tcW w:w="846" w:type="dxa"/>
          </w:tcPr>
          <w:p w14:paraId="73F19B35" w14:textId="5160C4C2" w:rsidR="00A44706" w:rsidRPr="00EC2CEE" w:rsidRDefault="00405353" w:rsidP="00DB0A79">
            <w:pPr>
              <w:pStyle w:val="NoSpacing"/>
              <w:rPr>
                <w:rFonts w:cs="Times New Roman"/>
                <w:b/>
                <w:bCs/>
                <w:szCs w:val="24"/>
              </w:rPr>
            </w:pPr>
            <w:r w:rsidRPr="00EC2CEE">
              <w:rPr>
                <w:b/>
                <w:bCs/>
                <w:szCs w:val="24"/>
              </w:rPr>
              <w:t>2.9</w:t>
            </w:r>
          </w:p>
        </w:tc>
        <w:tc>
          <w:tcPr>
            <w:tcW w:w="1701" w:type="dxa"/>
          </w:tcPr>
          <w:p w14:paraId="16DC3E36" w14:textId="44A62C83" w:rsidR="00A44706" w:rsidRPr="00EC2CEE" w:rsidRDefault="00405353" w:rsidP="00DB0A79">
            <w:pPr>
              <w:pStyle w:val="NoSpacing"/>
              <w:rPr>
                <w:rFonts w:cs="Times New Roman"/>
                <w:b/>
                <w:bCs/>
                <w:szCs w:val="24"/>
              </w:rPr>
            </w:pPr>
            <w:r w:rsidRPr="00EC2CEE">
              <w:rPr>
                <w:b/>
                <w:bCs/>
                <w:szCs w:val="24"/>
              </w:rPr>
              <w:t>Conseiller en harcèlement</w:t>
            </w:r>
          </w:p>
        </w:tc>
        <w:tc>
          <w:tcPr>
            <w:tcW w:w="6803" w:type="dxa"/>
          </w:tcPr>
          <w:p w14:paraId="05D5E91D" w14:textId="71A5396A" w:rsidR="00A44706" w:rsidRPr="00EC2CEE" w:rsidRDefault="00405353" w:rsidP="00DB0A79">
            <w:pPr>
              <w:pStyle w:val="NoSpacing"/>
              <w:rPr>
                <w:szCs w:val="24"/>
              </w:rPr>
            </w:pPr>
            <w:r w:rsidRPr="00EC2CEE">
              <w:t xml:space="preserve">Les employés des FAC qui ont été nommés par les agents responsables pour fournir des renseignements et des conseils aux agents responsables concernant la politique et les procédures en matière de harcèlement, ainsi que concernant les rôles et </w:t>
            </w:r>
            <w:r w:rsidRPr="00EC2CEE">
              <w:lastRenderedPageBreak/>
              <w:t>responsabilités des agents responsables, afin de prévenir le harcèlement et de régler les cas de harcèlement.</w:t>
            </w:r>
          </w:p>
          <w:p w14:paraId="1A4B5E22" w14:textId="18D3865A" w:rsidR="00DE0363" w:rsidRPr="00EC2CEE" w:rsidRDefault="00DE0363" w:rsidP="00DB0A79">
            <w:pPr>
              <w:pStyle w:val="NoSpacing"/>
              <w:rPr>
                <w:rFonts w:cs="Times New Roman"/>
                <w:szCs w:val="24"/>
              </w:rPr>
            </w:pPr>
          </w:p>
        </w:tc>
      </w:tr>
      <w:tr w:rsidR="00A44706" w:rsidRPr="00EC2CEE" w14:paraId="2FE17E3B" w14:textId="77777777" w:rsidTr="00732921">
        <w:tc>
          <w:tcPr>
            <w:tcW w:w="846" w:type="dxa"/>
          </w:tcPr>
          <w:p w14:paraId="6B84B510" w14:textId="3390185D" w:rsidR="00A44706" w:rsidRPr="00EC2CEE" w:rsidRDefault="00DE0363" w:rsidP="00DB0A79">
            <w:pPr>
              <w:pStyle w:val="NoSpacing"/>
              <w:rPr>
                <w:rFonts w:cs="Times New Roman"/>
                <w:b/>
                <w:bCs/>
                <w:szCs w:val="24"/>
              </w:rPr>
            </w:pPr>
            <w:r w:rsidRPr="00EC2CEE">
              <w:rPr>
                <w:b/>
                <w:bCs/>
                <w:szCs w:val="24"/>
              </w:rPr>
              <w:lastRenderedPageBreak/>
              <w:t>2.10</w:t>
            </w:r>
          </w:p>
        </w:tc>
        <w:tc>
          <w:tcPr>
            <w:tcW w:w="1701" w:type="dxa"/>
          </w:tcPr>
          <w:p w14:paraId="5D232777" w14:textId="339C0CEC" w:rsidR="00A44706" w:rsidRPr="00EC2CEE" w:rsidRDefault="00DE0363" w:rsidP="00DB0A79">
            <w:pPr>
              <w:pStyle w:val="NoSpacing"/>
              <w:rPr>
                <w:rFonts w:cs="Times New Roman"/>
                <w:b/>
                <w:bCs/>
                <w:szCs w:val="24"/>
              </w:rPr>
            </w:pPr>
            <w:r w:rsidRPr="00EC2CEE">
              <w:rPr>
                <w:b/>
                <w:bCs/>
                <w:szCs w:val="24"/>
              </w:rPr>
              <w:t>Conseiller en relation de travail</w:t>
            </w:r>
          </w:p>
        </w:tc>
        <w:tc>
          <w:tcPr>
            <w:tcW w:w="6803" w:type="dxa"/>
          </w:tcPr>
          <w:p w14:paraId="5DC7A21E" w14:textId="6A9898AF" w:rsidR="00A44706" w:rsidRPr="00EC2CEE" w:rsidRDefault="00DE0363" w:rsidP="00DB0A79">
            <w:pPr>
              <w:pStyle w:val="NoSpacing"/>
              <w:rPr>
                <w:rFonts w:cs="Times New Roman"/>
                <w:szCs w:val="24"/>
              </w:rPr>
            </w:pPr>
            <w:r w:rsidRPr="00EC2CEE">
              <w:t>Un conseiller en harcèlement formé qui ne joue pas le rôle de conseiller et qui assiste le conseiller en harcèlement dans la coordination des programmes de sensibilisation et de prévention. Le conseiller en relations de travail est une source d</w:t>
            </w:r>
            <w:r w:rsidR="00180A75" w:rsidRPr="00EC2CEE">
              <w:t>’</w:t>
            </w:r>
            <w:r w:rsidRPr="00EC2CEE">
              <w:t>information pour les membres des Forces armées canadiennes.</w:t>
            </w:r>
          </w:p>
          <w:p w14:paraId="28ADD56D" w14:textId="01FCE41B" w:rsidR="00732921" w:rsidRPr="00EC2CEE" w:rsidRDefault="00732921" w:rsidP="00DB0A79">
            <w:pPr>
              <w:pStyle w:val="NoSpacing"/>
              <w:rPr>
                <w:rFonts w:cs="Times New Roman"/>
                <w:szCs w:val="24"/>
              </w:rPr>
            </w:pPr>
          </w:p>
        </w:tc>
      </w:tr>
      <w:tr w:rsidR="00A44706" w:rsidRPr="00EC2CEE" w14:paraId="7F7096A1" w14:textId="77777777" w:rsidTr="00732921">
        <w:tc>
          <w:tcPr>
            <w:tcW w:w="846" w:type="dxa"/>
          </w:tcPr>
          <w:p w14:paraId="46371671" w14:textId="2BCB98EE" w:rsidR="00A44706" w:rsidRPr="00EC2CEE" w:rsidRDefault="00DE0363" w:rsidP="00DB0A79">
            <w:pPr>
              <w:pStyle w:val="NoSpacing"/>
              <w:rPr>
                <w:rFonts w:cs="Times New Roman"/>
                <w:b/>
                <w:bCs/>
                <w:szCs w:val="24"/>
              </w:rPr>
            </w:pPr>
            <w:r w:rsidRPr="00EC2CEE">
              <w:rPr>
                <w:b/>
                <w:bCs/>
                <w:szCs w:val="24"/>
              </w:rPr>
              <w:t>2.11</w:t>
            </w:r>
          </w:p>
        </w:tc>
        <w:tc>
          <w:tcPr>
            <w:tcW w:w="1701" w:type="dxa"/>
          </w:tcPr>
          <w:p w14:paraId="4A64D833" w14:textId="137FB9FB" w:rsidR="00A44706" w:rsidRPr="00EC2CEE" w:rsidRDefault="00DE0363" w:rsidP="00DB0A79">
            <w:pPr>
              <w:pStyle w:val="NoSpacing"/>
              <w:rPr>
                <w:rFonts w:cs="Times New Roman"/>
                <w:b/>
                <w:bCs/>
                <w:szCs w:val="24"/>
              </w:rPr>
            </w:pPr>
            <w:r w:rsidRPr="00EC2CEE">
              <w:rPr>
                <w:b/>
                <w:bCs/>
                <w:szCs w:val="24"/>
              </w:rPr>
              <w:t>Bénéficiaire désigné</w:t>
            </w:r>
          </w:p>
        </w:tc>
        <w:tc>
          <w:tcPr>
            <w:tcW w:w="6803" w:type="dxa"/>
          </w:tcPr>
          <w:p w14:paraId="6A31138B" w14:textId="7B26511B" w:rsidR="00A44706" w:rsidRPr="00EC2CEE" w:rsidRDefault="00DE0363" w:rsidP="00DB0A79">
            <w:pPr>
              <w:pStyle w:val="NoSpacing"/>
              <w:rPr>
                <w:rFonts w:cs="Times New Roman"/>
                <w:szCs w:val="24"/>
              </w:rPr>
            </w:pPr>
            <w:r w:rsidRPr="00EC2CEE">
              <w:t>Une unité de travail ou une personne désignée par l</w:t>
            </w:r>
            <w:r w:rsidR="00180A75" w:rsidRPr="00EC2CEE">
              <w:t>’</w:t>
            </w:r>
            <w:r w:rsidRPr="00EC2CEE">
              <w:t>employeur en vertu de l</w:t>
            </w:r>
            <w:r w:rsidR="00180A75" w:rsidRPr="00EC2CEE">
              <w:t>’</w:t>
            </w:r>
            <w:r w:rsidRPr="00EC2CEE">
              <w:t xml:space="preserve">article 14 du </w:t>
            </w:r>
            <w:r w:rsidRPr="00EC2CEE">
              <w:rPr>
                <w:i/>
                <w:iCs/>
              </w:rPr>
              <w:t>Règlement sur la prévention du harcèlement et de la violence dans le lieu de travail</w:t>
            </w:r>
            <w:r w:rsidRPr="00EC2CEE">
              <w:t>.</w:t>
            </w:r>
          </w:p>
          <w:p w14:paraId="19C6ECA1" w14:textId="4EA34F96" w:rsidR="00732921" w:rsidRPr="00EC2CEE" w:rsidRDefault="00732921" w:rsidP="00DB0A79">
            <w:pPr>
              <w:pStyle w:val="NoSpacing"/>
              <w:rPr>
                <w:rFonts w:cs="Times New Roman"/>
                <w:szCs w:val="24"/>
              </w:rPr>
            </w:pPr>
          </w:p>
        </w:tc>
      </w:tr>
      <w:tr w:rsidR="00DE0363" w:rsidRPr="00EC2CEE" w14:paraId="6CF7EA30" w14:textId="77777777" w:rsidTr="00732921">
        <w:tc>
          <w:tcPr>
            <w:tcW w:w="846" w:type="dxa"/>
          </w:tcPr>
          <w:p w14:paraId="5D3F05C6" w14:textId="0AA640AB" w:rsidR="00DE0363" w:rsidRPr="00EC2CEE" w:rsidRDefault="00DE0363" w:rsidP="00DB0A79">
            <w:pPr>
              <w:pStyle w:val="NoSpacing"/>
              <w:rPr>
                <w:rFonts w:cs="Times New Roman"/>
                <w:b/>
                <w:bCs/>
                <w:szCs w:val="24"/>
              </w:rPr>
            </w:pPr>
            <w:r w:rsidRPr="00EC2CEE">
              <w:rPr>
                <w:b/>
                <w:bCs/>
                <w:szCs w:val="24"/>
              </w:rPr>
              <w:t>2.12</w:t>
            </w:r>
          </w:p>
        </w:tc>
        <w:tc>
          <w:tcPr>
            <w:tcW w:w="1701" w:type="dxa"/>
          </w:tcPr>
          <w:p w14:paraId="55CD55A5" w14:textId="706DCD41" w:rsidR="00DE0363" w:rsidRPr="00EC2CEE" w:rsidRDefault="00DE0363" w:rsidP="00DB0A79">
            <w:pPr>
              <w:pStyle w:val="NoSpacing"/>
              <w:rPr>
                <w:rFonts w:cs="Times New Roman"/>
                <w:b/>
                <w:bCs/>
                <w:szCs w:val="24"/>
              </w:rPr>
            </w:pPr>
            <w:r w:rsidRPr="00EC2CEE">
              <w:rPr>
                <w:b/>
                <w:bCs/>
                <w:szCs w:val="24"/>
              </w:rPr>
              <w:t>Chaîne de commandement</w:t>
            </w:r>
          </w:p>
        </w:tc>
        <w:tc>
          <w:tcPr>
            <w:tcW w:w="6803" w:type="dxa"/>
          </w:tcPr>
          <w:p w14:paraId="40FD7BCA" w14:textId="0802695B" w:rsidR="00DE0363" w:rsidRPr="00EC2CEE" w:rsidRDefault="00DE0363" w:rsidP="00DB0A79">
            <w:pPr>
              <w:pStyle w:val="NoSpacing"/>
              <w:rPr>
                <w:rFonts w:cs="Times New Roman"/>
                <w:szCs w:val="24"/>
              </w:rPr>
            </w:pPr>
            <w:r w:rsidRPr="00EC2CEE">
              <w:t>La chaîne de commandement est la voie hiérarchique et de responsabilité au moyen de laquelle les ordres et les renseignements sont transmis au sein d</w:t>
            </w:r>
            <w:r w:rsidR="00180A75" w:rsidRPr="00EC2CEE">
              <w:t>’</w:t>
            </w:r>
            <w:r w:rsidRPr="00EC2CEE">
              <w:t>une organisation militaire.</w:t>
            </w:r>
          </w:p>
          <w:p w14:paraId="415B772E" w14:textId="77C7A478" w:rsidR="00732921" w:rsidRPr="00EC2CEE" w:rsidRDefault="00732921" w:rsidP="00DB0A79">
            <w:pPr>
              <w:pStyle w:val="NoSpacing"/>
              <w:rPr>
                <w:rFonts w:cs="Times New Roman"/>
                <w:szCs w:val="24"/>
              </w:rPr>
            </w:pPr>
          </w:p>
        </w:tc>
      </w:tr>
      <w:tr w:rsidR="00DE0363" w:rsidRPr="00EC2CEE" w14:paraId="56B75B94" w14:textId="77777777" w:rsidTr="00732921">
        <w:tc>
          <w:tcPr>
            <w:tcW w:w="846" w:type="dxa"/>
          </w:tcPr>
          <w:p w14:paraId="1843551A" w14:textId="69381B67" w:rsidR="00DE0363" w:rsidRPr="00EC2CEE" w:rsidRDefault="00DE0363" w:rsidP="00DB0A79">
            <w:pPr>
              <w:pStyle w:val="NoSpacing"/>
              <w:rPr>
                <w:rFonts w:cs="Times New Roman"/>
                <w:b/>
                <w:bCs/>
                <w:szCs w:val="24"/>
              </w:rPr>
            </w:pPr>
            <w:r w:rsidRPr="00EC2CEE">
              <w:rPr>
                <w:b/>
                <w:bCs/>
                <w:szCs w:val="24"/>
              </w:rPr>
              <w:t>2.13</w:t>
            </w:r>
          </w:p>
        </w:tc>
        <w:tc>
          <w:tcPr>
            <w:tcW w:w="1701" w:type="dxa"/>
          </w:tcPr>
          <w:p w14:paraId="6A2481DC" w14:textId="17C032AE" w:rsidR="00DE0363" w:rsidRPr="00EC2CEE" w:rsidRDefault="00DE0363" w:rsidP="00DB0A79">
            <w:pPr>
              <w:pStyle w:val="NoSpacing"/>
              <w:rPr>
                <w:rFonts w:cs="Times New Roman"/>
                <w:b/>
                <w:bCs/>
                <w:szCs w:val="24"/>
              </w:rPr>
            </w:pPr>
            <w:r w:rsidRPr="00EC2CEE">
              <w:rPr>
                <w:b/>
                <w:bCs/>
                <w:szCs w:val="24"/>
              </w:rPr>
              <w:t>Directeur</w:t>
            </w:r>
          </w:p>
        </w:tc>
        <w:tc>
          <w:tcPr>
            <w:tcW w:w="6803" w:type="dxa"/>
          </w:tcPr>
          <w:p w14:paraId="1596D6B3" w14:textId="7EE2C475" w:rsidR="00732921" w:rsidRPr="00EC2CEE" w:rsidRDefault="00DE0363" w:rsidP="003352C5">
            <w:pPr>
              <w:pStyle w:val="NoSpacing"/>
              <w:rPr>
                <w:rFonts w:cs="Times New Roman"/>
                <w:szCs w:val="24"/>
              </w:rPr>
            </w:pPr>
            <w:r w:rsidRPr="00EC2CEE">
              <w:t>Le terme de directeur au CMR désigne le principal, le commandant adjoint, le directeur des cadets, le directeur de l</w:t>
            </w:r>
            <w:r w:rsidR="00180A75" w:rsidRPr="00EC2CEE">
              <w:t>’</w:t>
            </w:r>
            <w:r w:rsidRPr="00EC2CEE">
              <w:t>athlétisme et le directeur des SMA/</w:t>
            </w:r>
            <w:proofErr w:type="spellStart"/>
            <w:r w:rsidRPr="00EC2CEE">
              <w:t>cmdt</w:t>
            </w:r>
            <w:proofErr w:type="spellEnd"/>
            <w:r w:rsidRPr="00EC2CEE">
              <w:t xml:space="preserve"> ES et </w:t>
            </w:r>
            <w:proofErr w:type="spellStart"/>
            <w:r w:rsidRPr="00EC2CEE">
              <w:t>MilFac</w:t>
            </w:r>
            <w:proofErr w:type="spellEnd"/>
            <w:r w:rsidRPr="00EC2CEE">
              <w:t>.</w:t>
            </w:r>
          </w:p>
        </w:tc>
      </w:tr>
    </w:tbl>
    <w:p w14:paraId="1FE10783" w14:textId="234EF4B0" w:rsidR="00A14E60" w:rsidRPr="00EC2CEE" w:rsidRDefault="00732921" w:rsidP="00732921">
      <w:pPr>
        <w:pStyle w:val="Heading1"/>
      </w:pPr>
      <w:bookmarkStart w:id="2" w:name="_Toc201921572"/>
      <w:r w:rsidRPr="00EC2CEE">
        <w:t>3.</w:t>
      </w:r>
      <w:r w:rsidRPr="00EC2CEE">
        <w:tab/>
        <w:t>Énoncé de politique/but</w:t>
      </w:r>
      <w:bookmarkEnd w:id="2"/>
    </w:p>
    <w:p w14:paraId="53FC9C15" w14:textId="77777777" w:rsidR="00732921" w:rsidRPr="00EC2CEE" w:rsidRDefault="00732921" w:rsidP="00732921"/>
    <w:tbl>
      <w:tblPr>
        <w:tblStyle w:val="TableGridLight"/>
        <w:tblW w:w="0" w:type="auto"/>
        <w:tblLook w:val="04A0" w:firstRow="1" w:lastRow="0" w:firstColumn="1" w:lastColumn="0" w:noHBand="0" w:noVBand="1"/>
      </w:tblPr>
      <w:tblGrid>
        <w:gridCol w:w="835"/>
        <w:gridCol w:w="1817"/>
        <w:gridCol w:w="6698"/>
      </w:tblGrid>
      <w:tr w:rsidR="00144E4E" w:rsidRPr="00EC2CEE" w14:paraId="76134A70" w14:textId="77777777" w:rsidTr="00144E4E">
        <w:tc>
          <w:tcPr>
            <w:tcW w:w="835" w:type="dxa"/>
          </w:tcPr>
          <w:p w14:paraId="5F96D0F9" w14:textId="57D37DEA" w:rsidR="00DB0A79" w:rsidRPr="00EC2CEE" w:rsidRDefault="00732921" w:rsidP="00F75663">
            <w:pPr>
              <w:pStyle w:val="NoSpacing"/>
              <w:rPr>
                <w:rFonts w:cs="Times New Roman"/>
                <w:b/>
                <w:bCs/>
                <w:szCs w:val="24"/>
              </w:rPr>
            </w:pPr>
            <w:r w:rsidRPr="00EC2CEE">
              <w:rPr>
                <w:b/>
                <w:bCs/>
                <w:szCs w:val="24"/>
              </w:rPr>
              <w:t>3.1</w:t>
            </w:r>
          </w:p>
        </w:tc>
        <w:tc>
          <w:tcPr>
            <w:tcW w:w="1817" w:type="dxa"/>
          </w:tcPr>
          <w:p w14:paraId="37DBC3F6" w14:textId="14322477" w:rsidR="00DB0A79" w:rsidRPr="00EC2CEE" w:rsidRDefault="00732921" w:rsidP="00F75663">
            <w:pPr>
              <w:pStyle w:val="NoSpacing"/>
              <w:rPr>
                <w:rFonts w:cs="Times New Roman"/>
                <w:b/>
                <w:bCs/>
                <w:szCs w:val="24"/>
              </w:rPr>
            </w:pPr>
            <w:r w:rsidRPr="00EC2CEE">
              <w:rPr>
                <w:b/>
                <w:bCs/>
                <w:szCs w:val="24"/>
              </w:rPr>
              <w:t>Responsabilités</w:t>
            </w:r>
          </w:p>
        </w:tc>
        <w:tc>
          <w:tcPr>
            <w:tcW w:w="6698" w:type="dxa"/>
          </w:tcPr>
          <w:p w14:paraId="1642DA1B" w14:textId="70F5D9DE" w:rsidR="00DB0A79" w:rsidRPr="00EC2CEE" w:rsidRDefault="00AA3C6D" w:rsidP="00F75663">
            <w:pPr>
              <w:pStyle w:val="NoSpacing"/>
              <w:rPr>
                <w:rFonts w:cs="Times New Roman"/>
                <w:szCs w:val="24"/>
              </w:rPr>
            </w:pPr>
            <w:r w:rsidRPr="00EC2CEE">
              <w:t>Un comportement éthique renforce la confiance mutuelle, le respect et la dignité. Il est attendu de tous les membres du CMR. Les membres des Forces armées canadiennes au CMR ont un rôle à jouer s</w:t>
            </w:r>
            <w:r w:rsidR="00180A75" w:rsidRPr="00EC2CEE">
              <w:t>’</w:t>
            </w:r>
            <w:r w:rsidRPr="00EC2CEE">
              <w:t>ils sont au courant d</w:t>
            </w:r>
            <w:r w:rsidR="00180A75" w:rsidRPr="00EC2CEE">
              <w:t>’</w:t>
            </w:r>
            <w:r w:rsidRPr="00EC2CEE">
              <w:t>incidents ou de plaintes d</w:t>
            </w:r>
            <w:r w:rsidR="00180A75" w:rsidRPr="00EC2CEE">
              <w:t>’</w:t>
            </w:r>
            <w:r w:rsidRPr="00EC2CEE">
              <w:t>inconduite sexuelle. Les mesures à prendre par les personnes témoins d</w:t>
            </w:r>
            <w:r w:rsidR="00180A75" w:rsidRPr="00EC2CEE">
              <w:t>’</w:t>
            </w:r>
            <w:r w:rsidRPr="00EC2CEE">
              <w:t>un incident d</w:t>
            </w:r>
            <w:r w:rsidR="00180A75" w:rsidRPr="00EC2CEE">
              <w:t>’</w:t>
            </w:r>
            <w:r w:rsidRPr="00EC2CEE">
              <w:t>inconduite sexuelle ou mises au courant d</w:t>
            </w:r>
            <w:r w:rsidR="00180A75" w:rsidRPr="00EC2CEE">
              <w:t>’</w:t>
            </w:r>
            <w:r w:rsidRPr="00EC2CEE">
              <w:t>un tel incident sont décrites dans la DOAD.</w:t>
            </w:r>
          </w:p>
          <w:p w14:paraId="04F9969A" w14:textId="527CBBF0" w:rsidR="00AA3C6D" w:rsidRPr="00EC2CEE" w:rsidRDefault="00AA3C6D" w:rsidP="00F75663">
            <w:pPr>
              <w:pStyle w:val="NoSpacing"/>
              <w:rPr>
                <w:rFonts w:cs="Times New Roman"/>
                <w:szCs w:val="24"/>
              </w:rPr>
            </w:pPr>
          </w:p>
        </w:tc>
      </w:tr>
      <w:tr w:rsidR="00144E4E" w:rsidRPr="00EC2CEE" w14:paraId="74DD377B" w14:textId="77777777" w:rsidTr="00144E4E">
        <w:tc>
          <w:tcPr>
            <w:tcW w:w="835" w:type="dxa"/>
          </w:tcPr>
          <w:p w14:paraId="5D1BA93D" w14:textId="34F1D2EE" w:rsidR="00DB0A79" w:rsidRPr="00EC2CEE" w:rsidRDefault="00AA3C6D" w:rsidP="00F75663">
            <w:pPr>
              <w:pStyle w:val="NoSpacing"/>
              <w:rPr>
                <w:rFonts w:cs="Times New Roman"/>
                <w:b/>
                <w:bCs/>
                <w:szCs w:val="24"/>
              </w:rPr>
            </w:pPr>
            <w:r w:rsidRPr="00EC2CEE">
              <w:rPr>
                <w:b/>
                <w:bCs/>
                <w:szCs w:val="24"/>
              </w:rPr>
              <w:t>3.2</w:t>
            </w:r>
          </w:p>
        </w:tc>
        <w:tc>
          <w:tcPr>
            <w:tcW w:w="1817" w:type="dxa"/>
          </w:tcPr>
          <w:p w14:paraId="0938816C" w14:textId="7178FB90" w:rsidR="00DB0A79" w:rsidRPr="00EC2CEE" w:rsidRDefault="00AA3C6D" w:rsidP="00F75663">
            <w:pPr>
              <w:pStyle w:val="NoSpacing"/>
              <w:rPr>
                <w:rFonts w:cs="Times New Roman"/>
                <w:b/>
                <w:bCs/>
                <w:szCs w:val="24"/>
              </w:rPr>
            </w:pPr>
            <w:r w:rsidRPr="00EC2CEE">
              <w:rPr>
                <w:b/>
                <w:bCs/>
                <w:szCs w:val="24"/>
              </w:rPr>
              <w:t>Énoncé d</w:t>
            </w:r>
            <w:r w:rsidR="00180A75" w:rsidRPr="00EC2CEE">
              <w:rPr>
                <w:b/>
                <w:bCs/>
                <w:szCs w:val="24"/>
              </w:rPr>
              <w:t>’</w:t>
            </w:r>
            <w:r w:rsidRPr="00EC2CEE">
              <w:rPr>
                <w:b/>
                <w:bCs/>
                <w:szCs w:val="24"/>
              </w:rPr>
              <w:t>engagement</w:t>
            </w:r>
          </w:p>
        </w:tc>
        <w:tc>
          <w:tcPr>
            <w:tcW w:w="6698" w:type="dxa"/>
          </w:tcPr>
          <w:p w14:paraId="7EAB67D0" w14:textId="5F9074F0" w:rsidR="003B6FB3" w:rsidRPr="00EC2CEE" w:rsidRDefault="00AA3C6D" w:rsidP="00AA3C6D">
            <w:pPr>
              <w:pStyle w:val="NoSpacing"/>
              <w:rPr>
                <w:rFonts w:cs="Times New Roman"/>
                <w:szCs w:val="24"/>
              </w:rPr>
            </w:pPr>
            <w:r w:rsidRPr="00EC2CEE">
              <w:t>Tous les membres de la communauté du CMR ont le droit de travailler et d</w:t>
            </w:r>
            <w:r w:rsidR="00180A75" w:rsidRPr="00EC2CEE">
              <w:t>’</w:t>
            </w:r>
            <w:r w:rsidRPr="00EC2CEE">
              <w:t>étudier dans un milieu exempt de toute forme d</w:t>
            </w:r>
            <w:r w:rsidR="00180A75" w:rsidRPr="00EC2CEE">
              <w:t>’</w:t>
            </w:r>
            <w:r w:rsidRPr="00EC2CEE">
              <w:t>inconduite sexuelle.</w:t>
            </w:r>
          </w:p>
          <w:p w14:paraId="60287B1B" w14:textId="77777777" w:rsidR="003B6FB3" w:rsidRPr="00EC2CEE" w:rsidRDefault="003B6FB3" w:rsidP="00AA3C6D">
            <w:pPr>
              <w:pStyle w:val="NoSpacing"/>
              <w:rPr>
                <w:rFonts w:cs="Times New Roman"/>
                <w:szCs w:val="24"/>
              </w:rPr>
            </w:pPr>
          </w:p>
          <w:p w14:paraId="6658343E" w14:textId="43E313D2" w:rsidR="00DB0A79" w:rsidRPr="00EC2CEE" w:rsidRDefault="00AA3C6D" w:rsidP="00AA3C6D">
            <w:pPr>
              <w:pStyle w:val="NoSpacing"/>
              <w:rPr>
                <w:rFonts w:cs="Times New Roman"/>
                <w:szCs w:val="24"/>
              </w:rPr>
            </w:pPr>
            <w:r w:rsidRPr="00EC2CEE">
              <w:t>Le présent document énonce la politique du CMR en matière d</w:t>
            </w:r>
            <w:r w:rsidR="00180A75" w:rsidRPr="00EC2CEE">
              <w:t>’</w:t>
            </w:r>
            <w:r w:rsidRPr="00EC2CEE">
              <w:t>inconduite sexuelle ainsi que son intention, c</w:t>
            </w:r>
            <w:r w:rsidR="00180A75" w:rsidRPr="00EC2CEE">
              <w:t>’</w:t>
            </w:r>
            <w:r w:rsidRPr="00EC2CEE">
              <w:t>est-à-dire s</w:t>
            </w:r>
            <w:r w:rsidR="00180A75" w:rsidRPr="00EC2CEE">
              <w:t>’</w:t>
            </w:r>
            <w:r w:rsidRPr="00EC2CEE">
              <w:t>assurer que les personnes qui font l</w:t>
            </w:r>
            <w:r w:rsidR="00180A75" w:rsidRPr="00EC2CEE">
              <w:t>’</w:t>
            </w:r>
            <w:r w:rsidRPr="00EC2CEE">
              <w:t>objet d</w:t>
            </w:r>
            <w:r w:rsidR="00180A75" w:rsidRPr="00EC2CEE">
              <w:t>’</w:t>
            </w:r>
            <w:r w:rsidRPr="00EC2CEE">
              <w:t>une inconduite sexuelle ont accès à des soins après l</w:t>
            </w:r>
            <w:r w:rsidR="00180A75" w:rsidRPr="00EC2CEE">
              <w:t>’</w:t>
            </w:r>
            <w:r w:rsidRPr="00EC2CEE">
              <w:t>incident et que leurs droits sont respectés. Dans le cas où un incident d</w:t>
            </w:r>
            <w:r w:rsidR="00180A75" w:rsidRPr="00EC2CEE">
              <w:t>’</w:t>
            </w:r>
            <w:r w:rsidRPr="00EC2CEE">
              <w:t xml:space="preserve">inconduite sexuelle survienne, la présente politique indique que ceux qui ont commis un tel acte peuvent être assujettis à la </w:t>
            </w:r>
            <w:r w:rsidRPr="00EC2CEE">
              <w:rPr>
                <w:i/>
                <w:iCs/>
              </w:rPr>
              <w:t>Loi sur la défense nationale</w:t>
            </w:r>
            <w:r w:rsidRPr="00EC2CEE">
              <w:t xml:space="preserve">, au </w:t>
            </w:r>
            <w:r w:rsidRPr="00EC2CEE">
              <w:rPr>
                <w:i/>
                <w:iCs/>
              </w:rPr>
              <w:t>Code criminel</w:t>
            </w:r>
            <w:r w:rsidRPr="00EC2CEE">
              <w:t xml:space="preserve"> du Canada, au </w:t>
            </w:r>
            <w:r w:rsidRPr="00EC2CEE">
              <w:rPr>
                <w:i/>
                <w:iCs/>
              </w:rPr>
              <w:t xml:space="preserve">Règlement sur la prévention du </w:t>
            </w:r>
            <w:r w:rsidRPr="00EC2CEE">
              <w:rPr>
                <w:i/>
                <w:iCs/>
              </w:rPr>
              <w:lastRenderedPageBreak/>
              <w:t>harcèlement et de la violence dans le lieu de travail</w:t>
            </w:r>
            <w:r w:rsidRPr="00EC2CEE">
              <w:t>, à des mesures disciplinaires civiles ou à des mesures correctives.</w:t>
            </w:r>
          </w:p>
          <w:p w14:paraId="0402885B" w14:textId="77777777" w:rsidR="00AA3C6D" w:rsidRPr="00EC2CEE" w:rsidRDefault="00AA3C6D" w:rsidP="00AA3C6D">
            <w:pPr>
              <w:pStyle w:val="NoSpacing"/>
              <w:rPr>
                <w:rFonts w:cs="Times New Roman"/>
                <w:szCs w:val="24"/>
              </w:rPr>
            </w:pPr>
          </w:p>
          <w:p w14:paraId="608A816D" w14:textId="797C4A0F" w:rsidR="00AA3C6D" w:rsidRPr="00EC2CEE" w:rsidRDefault="00AA3C6D" w:rsidP="003B6FB3">
            <w:pPr>
              <w:numPr>
                <w:ilvl w:val="0"/>
                <w:numId w:val="20"/>
              </w:numPr>
              <w:spacing w:before="160"/>
              <w:rPr>
                <w:szCs w:val="24"/>
              </w:rPr>
            </w:pPr>
            <w:r w:rsidRPr="00EC2CEE">
              <w:t>Le CMR s</w:t>
            </w:r>
            <w:r w:rsidR="00180A75" w:rsidRPr="00EC2CEE">
              <w:t>’</w:t>
            </w:r>
            <w:r w:rsidRPr="00EC2CEE">
              <w:t>efforce de prévenir l</w:t>
            </w:r>
            <w:r w:rsidR="00180A75" w:rsidRPr="00EC2CEE">
              <w:t>’</w:t>
            </w:r>
            <w:r w:rsidRPr="00EC2CEE">
              <w:t>inconduite sexuelle et d</w:t>
            </w:r>
            <w:r w:rsidR="00180A75" w:rsidRPr="00EC2CEE">
              <w:t>’</w:t>
            </w:r>
            <w:r w:rsidRPr="00EC2CEE">
              <w:t>être un espace sécuritaire et positif dans lequel les militaires se sentent invités à travailler, à apprendre et à s</w:t>
            </w:r>
            <w:r w:rsidR="00180A75" w:rsidRPr="00EC2CEE">
              <w:t>’</w:t>
            </w:r>
            <w:r w:rsidRPr="00EC2CEE">
              <w:t>exprimer dans un environnement respectueux</w:t>
            </w:r>
            <w:r w:rsidR="00875779" w:rsidRPr="00EC2CEE">
              <w:t>.</w:t>
            </w:r>
          </w:p>
          <w:p w14:paraId="17D22757" w14:textId="30321B6F" w:rsidR="00AA3C6D" w:rsidRPr="00EC2CEE" w:rsidRDefault="00AA3C6D" w:rsidP="002155EC">
            <w:pPr>
              <w:numPr>
                <w:ilvl w:val="0"/>
                <w:numId w:val="20"/>
              </w:numPr>
              <w:spacing w:before="160"/>
              <w:rPr>
                <w:szCs w:val="24"/>
              </w:rPr>
            </w:pPr>
            <w:r w:rsidRPr="00EC2CEE">
              <w:t>Une inconduite sexuelle peut survenir entre des personnes, quels que soient l</w:t>
            </w:r>
            <w:r w:rsidR="00180A75" w:rsidRPr="00EC2CEE">
              <w:t>’</w:t>
            </w:r>
            <w:r w:rsidRPr="00EC2CEE">
              <w:t>orientation sexuelle, l</w:t>
            </w:r>
            <w:r w:rsidR="00180A75" w:rsidRPr="00EC2CEE">
              <w:t>’</w:t>
            </w:r>
            <w:r w:rsidRPr="00EC2CEE">
              <w:t>identité/l</w:t>
            </w:r>
            <w:r w:rsidR="00180A75" w:rsidRPr="00EC2CEE">
              <w:t>’</w:t>
            </w:r>
            <w:r w:rsidRPr="00EC2CEE">
              <w:t>expression de genre ou le type de relation. Il est aussi reconnu que les personnes qui ont subi une inconduite sexuelle peuvent être aux prises avec des problèmes d</w:t>
            </w:r>
            <w:r w:rsidR="00180A75" w:rsidRPr="00EC2CEE">
              <w:t>’</w:t>
            </w:r>
            <w:r w:rsidRPr="00EC2CEE">
              <w:t>ordre émotif ou scolaire, des problèmes de rendement dans l</w:t>
            </w:r>
            <w:r w:rsidR="00180A75" w:rsidRPr="00EC2CEE">
              <w:t>’</w:t>
            </w:r>
            <w:r w:rsidRPr="00EC2CEE">
              <w:t>exercice de leurs fonctions ou d</w:t>
            </w:r>
            <w:r w:rsidR="00180A75" w:rsidRPr="00EC2CEE">
              <w:t>’</w:t>
            </w:r>
            <w:r w:rsidRPr="00EC2CEE">
              <w:t>autres problèmes. Le CMR s</w:t>
            </w:r>
            <w:r w:rsidR="00180A75" w:rsidRPr="00EC2CEE">
              <w:t>’</w:t>
            </w:r>
            <w:r w:rsidRPr="00EC2CEE">
              <w:t>engage à soutenir la personne affectée ou la victime et à répondre à ses besoins.</w:t>
            </w:r>
          </w:p>
          <w:p w14:paraId="768DDB06" w14:textId="0D534014" w:rsidR="002155EC" w:rsidRPr="00EC2CEE" w:rsidRDefault="002155EC" w:rsidP="002155EC">
            <w:pPr>
              <w:numPr>
                <w:ilvl w:val="0"/>
                <w:numId w:val="20"/>
              </w:numPr>
              <w:spacing w:before="160"/>
              <w:rPr>
                <w:szCs w:val="24"/>
              </w:rPr>
            </w:pPr>
            <w:r w:rsidRPr="00EC2CEE">
              <w:t>Dans le présent ordre, le CMR exprime son engagement soutenu :</w:t>
            </w:r>
          </w:p>
          <w:p w14:paraId="10BB6D14" w14:textId="4DCDEF12" w:rsidR="00AA3C6D" w:rsidRPr="00EC2CEE" w:rsidRDefault="002155EC" w:rsidP="002155EC">
            <w:pPr>
              <w:pStyle w:val="ListParagraph"/>
              <w:numPr>
                <w:ilvl w:val="0"/>
                <w:numId w:val="25"/>
              </w:numPr>
              <w:spacing w:before="160"/>
              <w:rPr>
                <w:szCs w:val="24"/>
              </w:rPr>
            </w:pPr>
            <w:r w:rsidRPr="00EC2CEE">
              <w:t>à traiter avec compassion les personnes qui divulguent ou signalent une inconduite sexuelle et à reconnaître, dans toute la mesure possible, que la personne affectée ou la victime est en mesure de défendre ses propres intérêts;</w:t>
            </w:r>
          </w:p>
          <w:p w14:paraId="4D32EDC1" w14:textId="77777777" w:rsidR="002155EC" w:rsidRPr="00EC2CEE" w:rsidRDefault="002155EC" w:rsidP="002155EC">
            <w:pPr>
              <w:pStyle w:val="ListParagraph"/>
              <w:spacing w:before="160"/>
              <w:ind w:left="1800"/>
              <w:rPr>
                <w:szCs w:val="24"/>
              </w:rPr>
            </w:pPr>
          </w:p>
          <w:p w14:paraId="35298CF8" w14:textId="70595B08" w:rsidR="002155EC" w:rsidRPr="00EC2CEE" w:rsidRDefault="002155EC" w:rsidP="002155EC">
            <w:pPr>
              <w:pStyle w:val="ListParagraph"/>
              <w:numPr>
                <w:ilvl w:val="0"/>
                <w:numId w:val="25"/>
              </w:numPr>
              <w:spacing w:before="160"/>
              <w:rPr>
                <w:szCs w:val="24"/>
              </w:rPr>
            </w:pPr>
            <w:r w:rsidRPr="00EC2CEE">
              <w:t>à faire en sorte que les personnes qui signalent avoir subi une inconduite sexuelle soient prises au sérieux et que leur droit à la dignité et au respect soit protégé tout au long du processus de divulgation, de signalement, d</w:t>
            </w:r>
            <w:r w:rsidR="00180A75" w:rsidRPr="00EC2CEE">
              <w:t>’</w:t>
            </w:r>
            <w:r w:rsidRPr="00EC2CEE">
              <w:t>enquête et d</w:t>
            </w:r>
            <w:r w:rsidR="00180A75" w:rsidRPr="00EC2CEE">
              <w:t>’</w:t>
            </w:r>
            <w:r w:rsidRPr="00EC2CEE">
              <w:t>intervention de l</w:t>
            </w:r>
            <w:r w:rsidR="00180A75" w:rsidRPr="00EC2CEE">
              <w:t>’</w:t>
            </w:r>
            <w:r w:rsidRPr="00EC2CEE">
              <w:t>établissement;</w:t>
            </w:r>
          </w:p>
          <w:p w14:paraId="1626F872" w14:textId="77777777" w:rsidR="002155EC" w:rsidRPr="00EC2CEE" w:rsidRDefault="002155EC" w:rsidP="002155EC">
            <w:pPr>
              <w:pStyle w:val="ListParagraph"/>
              <w:spacing w:before="160"/>
              <w:ind w:left="1800"/>
              <w:rPr>
                <w:szCs w:val="24"/>
              </w:rPr>
            </w:pPr>
          </w:p>
          <w:p w14:paraId="6965F9C5" w14:textId="72BBC658" w:rsidR="002155EC" w:rsidRPr="00EC2CEE" w:rsidRDefault="002155EC" w:rsidP="002155EC">
            <w:pPr>
              <w:pStyle w:val="ListParagraph"/>
              <w:numPr>
                <w:ilvl w:val="0"/>
                <w:numId w:val="25"/>
              </w:numPr>
              <w:spacing w:before="160"/>
              <w:rPr>
                <w:szCs w:val="24"/>
              </w:rPr>
            </w:pPr>
            <w:r w:rsidRPr="00EC2CEE">
              <w:t>à aider toutes les personnes qui ont subi une inconduite sexuelle, qu</w:t>
            </w:r>
            <w:r w:rsidR="00180A75" w:rsidRPr="00EC2CEE">
              <w:t>’</w:t>
            </w:r>
            <w:r w:rsidRPr="00EC2CEE">
              <w:t>elles choisissent ou non de signaler l</w:t>
            </w:r>
            <w:r w:rsidR="00180A75" w:rsidRPr="00EC2CEE">
              <w:t>’</w:t>
            </w:r>
            <w:r w:rsidRPr="00EC2CEE">
              <w:t>incident ou les incidents, en leur fournissant des informations et un soutien, notamment en les orientant vers des services de conseil et des soins médicaux, en les informant sur les possibilités juridiques, le cas échéant, et en leur proposant des mesures d</w:t>
            </w:r>
            <w:r w:rsidR="00180A75" w:rsidRPr="00EC2CEE">
              <w:t>’</w:t>
            </w:r>
            <w:r w:rsidRPr="00EC2CEE">
              <w:t>adaptation académiques ou autres appropriées;</w:t>
            </w:r>
          </w:p>
          <w:p w14:paraId="355F427E" w14:textId="77777777" w:rsidR="002155EC" w:rsidRPr="00EC2CEE" w:rsidRDefault="002155EC" w:rsidP="002155EC">
            <w:pPr>
              <w:pStyle w:val="ListParagraph"/>
              <w:spacing w:before="160"/>
              <w:ind w:left="1800"/>
              <w:rPr>
                <w:szCs w:val="24"/>
              </w:rPr>
            </w:pPr>
          </w:p>
          <w:p w14:paraId="246DDFA8" w14:textId="7625C4CA" w:rsidR="002155EC" w:rsidRPr="00EC2CEE" w:rsidRDefault="002155EC" w:rsidP="002155EC">
            <w:pPr>
              <w:pStyle w:val="ListParagraph"/>
              <w:numPr>
                <w:ilvl w:val="0"/>
                <w:numId w:val="25"/>
              </w:numPr>
              <w:spacing w:before="160"/>
              <w:rPr>
                <w:szCs w:val="24"/>
              </w:rPr>
            </w:pPr>
            <w:r w:rsidRPr="00EC2CEE">
              <w:lastRenderedPageBreak/>
              <w:t>à corriger les attitudes et les comportements dommageables qui renforcent à tort l</w:t>
            </w:r>
            <w:r w:rsidR="00180A75" w:rsidRPr="00EC2CEE">
              <w:t>’</w:t>
            </w:r>
            <w:r w:rsidRPr="00EC2CEE">
              <w:t>idée selon laquelle la personne qui a subi une inconduite sexuelle a une certaine part de responsabilité dans l</w:t>
            </w:r>
            <w:r w:rsidR="00180A75" w:rsidRPr="00EC2CEE">
              <w:t>’</w:t>
            </w:r>
            <w:r w:rsidRPr="00EC2CEE">
              <w:t>incident;</w:t>
            </w:r>
          </w:p>
          <w:p w14:paraId="522A6C52" w14:textId="77777777" w:rsidR="002155EC" w:rsidRPr="00EC2CEE" w:rsidRDefault="002155EC" w:rsidP="002155EC">
            <w:pPr>
              <w:pStyle w:val="ListParagraph"/>
              <w:spacing w:before="160"/>
              <w:ind w:left="1800"/>
              <w:rPr>
                <w:szCs w:val="24"/>
              </w:rPr>
            </w:pPr>
          </w:p>
          <w:p w14:paraId="1AC50FA9" w14:textId="15B9EA70" w:rsidR="002155EC" w:rsidRPr="00EC2CEE" w:rsidRDefault="002155EC" w:rsidP="002155EC">
            <w:pPr>
              <w:pStyle w:val="ListParagraph"/>
              <w:numPr>
                <w:ilvl w:val="0"/>
                <w:numId w:val="25"/>
              </w:numPr>
              <w:spacing w:before="160"/>
              <w:rPr>
                <w:szCs w:val="24"/>
              </w:rPr>
            </w:pPr>
            <w:r w:rsidRPr="00EC2CEE">
              <w:t>à prendre, à la suite d</w:t>
            </w:r>
            <w:r w:rsidR="00180A75" w:rsidRPr="00EC2CEE">
              <w:t>’</w:t>
            </w:r>
            <w:r w:rsidRPr="00EC2CEE">
              <w:t>un signalement d</w:t>
            </w:r>
            <w:r w:rsidR="00180A75" w:rsidRPr="00EC2CEE">
              <w:t>’</w:t>
            </w:r>
            <w:r w:rsidRPr="00EC2CEE">
              <w:t>une inconduite sexuelle, des mesures administratives ou disciplinaires appropriées qui soient conformes aux lois, aux ordonnances, aux politiques et aux conventions collectives pertinentes et qui garantissent l</w:t>
            </w:r>
            <w:r w:rsidR="00180A75" w:rsidRPr="00EC2CEE">
              <w:t>’</w:t>
            </w:r>
            <w:r w:rsidRPr="00EC2CEE">
              <w:t>équité procédurale;</w:t>
            </w:r>
          </w:p>
          <w:p w14:paraId="5376B3A5" w14:textId="3BD20418" w:rsidR="002155EC" w:rsidRPr="00EC2CEE" w:rsidRDefault="002155EC" w:rsidP="002155EC">
            <w:pPr>
              <w:pStyle w:val="ListParagraph"/>
              <w:numPr>
                <w:ilvl w:val="0"/>
                <w:numId w:val="25"/>
              </w:numPr>
              <w:spacing w:before="160"/>
              <w:rPr>
                <w:szCs w:val="24"/>
              </w:rPr>
            </w:pPr>
            <w:r w:rsidRPr="00EC2CEE">
              <w:t>à faciliter la coordination et la communication entre les divers départements et organes externes qui sont les plus susceptibles de jouer un rôle dans l</w:t>
            </w:r>
            <w:r w:rsidR="00180A75" w:rsidRPr="00EC2CEE">
              <w:t>’</w:t>
            </w:r>
            <w:r w:rsidRPr="00EC2CEE">
              <w:t>intervention liée à une inconduite sexuelle sur le campus;</w:t>
            </w:r>
          </w:p>
          <w:p w14:paraId="162C22A7" w14:textId="77777777" w:rsidR="002155EC" w:rsidRPr="00EC2CEE" w:rsidRDefault="002155EC" w:rsidP="002155EC">
            <w:pPr>
              <w:pStyle w:val="ListParagraph"/>
              <w:spacing w:before="160"/>
              <w:ind w:left="1800"/>
              <w:rPr>
                <w:szCs w:val="24"/>
              </w:rPr>
            </w:pPr>
          </w:p>
          <w:p w14:paraId="6CA246EE" w14:textId="611256BB" w:rsidR="002155EC" w:rsidRPr="00EC2CEE" w:rsidRDefault="002155EC" w:rsidP="002155EC">
            <w:pPr>
              <w:pStyle w:val="ListParagraph"/>
              <w:numPr>
                <w:ilvl w:val="0"/>
                <w:numId w:val="25"/>
              </w:numPr>
              <w:spacing w:before="160"/>
              <w:rPr>
                <w:szCs w:val="24"/>
              </w:rPr>
            </w:pPr>
            <w:r w:rsidRPr="00EC2CEE">
              <w:t>à s</w:t>
            </w:r>
            <w:r w:rsidR="00180A75" w:rsidRPr="00EC2CEE">
              <w:t>’</w:t>
            </w:r>
            <w:r w:rsidRPr="00EC2CEE">
              <w:t>assurer que les politiques et les protocoles du CMR en matière d</w:t>
            </w:r>
            <w:r w:rsidR="00180A75" w:rsidRPr="00EC2CEE">
              <w:t>’</w:t>
            </w:r>
            <w:r w:rsidRPr="00EC2CEE">
              <w:t>inconduite sexuelle sont connus et compris par la communauté du CMR;</w:t>
            </w:r>
          </w:p>
          <w:p w14:paraId="1A0F3D14" w14:textId="77777777" w:rsidR="002155EC" w:rsidRPr="00EC2CEE" w:rsidRDefault="002155EC" w:rsidP="002155EC">
            <w:pPr>
              <w:pStyle w:val="ListParagraph"/>
              <w:spacing w:before="160"/>
              <w:ind w:left="1800"/>
              <w:rPr>
                <w:szCs w:val="24"/>
              </w:rPr>
            </w:pPr>
          </w:p>
          <w:p w14:paraId="7C88425B" w14:textId="3F11F543" w:rsidR="002155EC" w:rsidRPr="00EC2CEE" w:rsidRDefault="002155EC" w:rsidP="002155EC">
            <w:pPr>
              <w:pStyle w:val="ListParagraph"/>
              <w:numPr>
                <w:ilvl w:val="0"/>
                <w:numId w:val="25"/>
              </w:numPr>
              <w:spacing w:before="160"/>
              <w:rPr>
                <w:szCs w:val="24"/>
              </w:rPr>
            </w:pPr>
            <w:r w:rsidRPr="00EC2CEE">
              <w:t>à offrir à tous les membres de la communauté du CMR une éducation et une formation appropriées sur la prévention des inconduites sexuelles et sur l</w:t>
            </w:r>
            <w:r w:rsidR="00180A75" w:rsidRPr="00EC2CEE">
              <w:t>’</w:t>
            </w:r>
            <w:r w:rsidRPr="00EC2CEE">
              <w:t>intervention qui convient après la divulgation d</w:t>
            </w:r>
            <w:r w:rsidR="00180A75" w:rsidRPr="00EC2CEE">
              <w:t>’</w:t>
            </w:r>
            <w:r w:rsidRPr="00EC2CEE">
              <w:t>une inconduite sexuelle;</w:t>
            </w:r>
          </w:p>
          <w:p w14:paraId="6F69FD08" w14:textId="77777777" w:rsidR="002155EC" w:rsidRPr="00EC2CEE" w:rsidRDefault="002155EC" w:rsidP="002155EC">
            <w:pPr>
              <w:pStyle w:val="ListParagraph"/>
              <w:spacing w:before="160"/>
              <w:ind w:left="1800"/>
              <w:rPr>
                <w:szCs w:val="24"/>
              </w:rPr>
            </w:pPr>
          </w:p>
          <w:p w14:paraId="57C9D42A" w14:textId="77FD3005" w:rsidR="002155EC" w:rsidRPr="00EC2CEE" w:rsidRDefault="002155EC" w:rsidP="002155EC">
            <w:pPr>
              <w:pStyle w:val="ListParagraph"/>
              <w:numPr>
                <w:ilvl w:val="0"/>
                <w:numId w:val="25"/>
              </w:numPr>
              <w:spacing w:before="160"/>
              <w:rPr>
                <w:szCs w:val="24"/>
              </w:rPr>
            </w:pPr>
            <w:r w:rsidRPr="00EC2CEE">
              <w:t>à surveiller activement et à mettre à jour les politiques et les protocoles du CMR pour garantir qu</w:t>
            </w:r>
            <w:r w:rsidR="00180A75" w:rsidRPr="00EC2CEE">
              <w:t>’</w:t>
            </w:r>
            <w:r w:rsidRPr="00EC2CEE">
              <w:t>ils demeurent efficaces et qu</w:t>
            </w:r>
            <w:r w:rsidR="00180A75" w:rsidRPr="00EC2CEE">
              <w:t>’</w:t>
            </w:r>
            <w:r w:rsidRPr="00EC2CEE">
              <w:t>ils correspondent aux politiques existantes.</w:t>
            </w:r>
          </w:p>
        </w:tc>
      </w:tr>
    </w:tbl>
    <w:p w14:paraId="7EDCCF86" w14:textId="270DC92C" w:rsidR="00144E4E" w:rsidRPr="00EC2CEE" w:rsidRDefault="00144E4E" w:rsidP="00144E4E">
      <w:pPr>
        <w:pStyle w:val="Heading1"/>
      </w:pPr>
      <w:bookmarkStart w:id="3" w:name="_Toc201921573"/>
      <w:r w:rsidRPr="00EC2CEE">
        <w:lastRenderedPageBreak/>
        <w:t>4.</w:t>
      </w:r>
      <w:r w:rsidRPr="00EC2CEE">
        <w:tab/>
        <w:t>Confidentialité</w:t>
      </w:r>
      <w:bookmarkEnd w:id="3"/>
      <w:r w:rsidRPr="00EC2CEE">
        <w:t xml:space="preserve"> </w:t>
      </w:r>
    </w:p>
    <w:p w14:paraId="2C1F9F01" w14:textId="77777777" w:rsidR="00144E4E" w:rsidRPr="00EC2CEE" w:rsidRDefault="00144E4E" w:rsidP="00144E4E"/>
    <w:tbl>
      <w:tblPr>
        <w:tblStyle w:val="TableGridLight"/>
        <w:tblW w:w="0" w:type="auto"/>
        <w:tblLook w:val="04A0" w:firstRow="1" w:lastRow="0" w:firstColumn="1" w:lastColumn="0" w:noHBand="0" w:noVBand="1"/>
      </w:tblPr>
      <w:tblGrid>
        <w:gridCol w:w="846"/>
        <w:gridCol w:w="1701"/>
        <w:gridCol w:w="6803"/>
      </w:tblGrid>
      <w:tr w:rsidR="00732921" w:rsidRPr="00EC2CEE" w14:paraId="05E2F91A" w14:textId="77777777" w:rsidTr="00144E4E">
        <w:tc>
          <w:tcPr>
            <w:tcW w:w="846" w:type="dxa"/>
          </w:tcPr>
          <w:p w14:paraId="048615B4" w14:textId="14820ECE" w:rsidR="00732921" w:rsidRPr="00EC2CEE" w:rsidRDefault="00144E4E" w:rsidP="00F75663">
            <w:pPr>
              <w:pStyle w:val="NoSpacing"/>
              <w:rPr>
                <w:rFonts w:cs="Times New Roman"/>
                <w:b/>
                <w:bCs/>
                <w:szCs w:val="24"/>
              </w:rPr>
            </w:pPr>
            <w:r w:rsidRPr="00EC2CEE">
              <w:rPr>
                <w:b/>
                <w:bCs/>
                <w:szCs w:val="24"/>
              </w:rPr>
              <w:t>4.1</w:t>
            </w:r>
          </w:p>
        </w:tc>
        <w:tc>
          <w:tcPr>
            <w:tcW w:w="1701" w:type="dxa"/>
          </w:tcPr>
          <w:p w14:paraId="26FB4A7F" w14:textId="21607201" w:rsidR="00732921" w:rsidRPr="00EC2CEE" w:rsidRDefault="00144E4E" w:rsidP="00F75663">
            <w:pPr>
              <w:pStyle w:val="NoSpacing"/>
              <w:rPr>
                <w:rFonts w:cs="Times New Roman"/>
                <w:b/>
                <w:bCs/>
                <w:szCs w:val="24"/>
              </w:rPr>
            </w:pPr>
            <w:r w:rsidRPr="00EC2CEE">
              <w:rPr>
                <w:b/>
                <w:bCs/>
                <w:szCs w:val="24"/>
              </w:rPr>
              <w:t>Énoncé de confidentialité</w:t>
            </w:r>
          </w:p>
        </w:tc>
        <w:tc>
          <w:tcPr>
            <w:tcW w:w="6803" w:type="dxa"/>
          </w:tcPr>
          <w:p w14:paraId="70455403" w14:textId="248BCF16" w:rsidR="00732921" w:rsidRPr="00EC2CEE" w:rsidRDefault="00144E4E" w:rsidP="00F75663">
            <w:pPr>
              <w:pStyle w:val="NoSpacing"/>
              <w:rPr>
                <w:szCs w:val="24"/>
              </w:rPr>
            </w:pPr>
            <w:r w:rsidRPr="00EC2CEE">
              <w:t>La confidentialité est un aspect important de la mise en place d</w:t>
            </w:r>
            <w:r w:rsidR="00180A75" w:rsidRPr="00EC2CEE">
              <w:t>’</w:t>
            </w:r>
            <w:r w:rsidRPr="00EC2CEE">
              <w:t>un environnement dans lequel les personnes</w:t>
            </w:r>
            <w:r w:rsidRPr="00EC2CEE">
              <w:rPr>
                <w:b/>
              </w:rPr>
              <w:t xml:space="preserve"> </w:t>
            </w:r>
            <w:r w:rsidRPr="00EC2CEE">
              <w:t>qui sont affectées par une inconduite sexuelle se sentent en sécurité à la fois pour divulguer les incidents et pour obtenir du soutien et des mesures d</w:t>
            </w:r>
            <w:r w:rsidR="00180A75" w:rsidRPr="00EC2CEE">
              <w:t>’</w:t>
            </w:r>
            <w:r w:rsidRPr="00EC2CEE">
              <w:t>adaptation. La vie privée et la confidentialité de tous les membres de la communauté du CMR qui jouent un rôle dans la divulgation ou le signalement d</w:t>
            </w:r>
            <w:r w:rsidR="00180A75" w:rsidRPr="00EC2CEE">
              <w:t>’</w:t>
            </w:r>
            <w:r w:rsidRPr="00EC2CEE">
              <w:t xml:space="preserve">un incident seront protégées, à quelques exceptions </w:t>
            </w:r>
            <w:r w:rsidRPr="00EC2CEE">
              <w:lastRenderedPageBreak/>
              <w:t>près. La confidentialité ne peut pas être assurée dans les circonstances suivantes :</w:t>
            </w:r>
          </w:p>
          <w:p w14:paraId="703D8174" w14:textId="77777777" w:rsidR="00144E4E" w:rsidRPr="00EC2CEE" w:rsidRDefault="00144E4E" w:rsidP="00F75663">
            <w:pPr>
              <w:pStyle w:val="NoSpacing"/>
              <w:rPr>
                <w:rFonts w:cs="Times New Roman"/>
                <w:szCs w:val="24"/>
              </w:rPr>
            </w:pPr>
          </w:p>
          <w:p w14:paraId="04ED633D" w14:textId="32E83804" w:rsidR="00144E4E" w:rsidRPr="00EC2CEE" w:rsidRDefault="00144E4E" w:rsidP="00144E4E">
            <w:pPr>
              <w:pStyle w:val="NoSpacing"/>
              <w:numPr>
                <w:ilvl w:val="0"/>
                <w:numId w:val="26"/>
              </w:numPr>
              <w:rPr>
                <w:rFonts w:cs="Times New Roman"/>
                <w:szCs w:val="24"/>
              </w:rPr>
            </w:pPr>
            <w:r w:rsidRPr="00EC2CEE">
              <w:t xml:space="preserve">il est raisonnable de croire </w:t>
            </w:r>
            <w:r w:rsidR="00114C05" w:rsidRPr="00EC2CEE">
              <w:t>qu</w:t>
            </w:r>
            <w:r w:rsidR="00496378" w:rsidRPr="00EC2CEE">
              <w:t>’</w:t>
            </w:r>
            <w:r w:rsidR="00114C05" w:rsidRPr="00EC2CEE">
              <w:t>une personne présente un risque d</w:t>
            </w:r>
            <w:r w:rsidR="00087C1A" w:rsidRPr="00EC2CEE">
              <w:t>’</w:t>
            </w:r>
            <w:r w:rsidR="00114C05" w:rsidRPr="00EC2CEE">
              <w:t>automutilation</w:t>
            </w:r>
            <w:r w:rsidRPr="00EC2CEE">
              <w:t>;</w:t>
            </w:r>
          </w:p>
          <w:p w14:paraId="50D73522" w14:textId="77777777" w:rsidR="00144E4E" w:rsidRPr="00EC2CEE" w:rsidRDefault="00144E4E" w:rsidP="00144E4E">
            <w:pPr>
              <w:pStyle w:val="NoSpacing"/>
              <w:ind w:left="720"/>
              <w:rPr>
                <w:rFonts w:cs="Times New Roman"/>
                <w:szCs w:val="24"/>
              </w:rPr>
            </w:pPr>
          </w:p>
          <w:p w14:paraId="06688C2E" w14:textId="19D60F61" w:rsidR="00144E4E" w:rsidRPr="00EC2CEE" w:rsidRDefault="00144E4E" w:rsidP="00144E4E">
            <w:pPr>
              <w:pStyle w:val="NoSpacing"/>
              <w:numPr>
                <w:ilvl w:val="0"/>
                <w:numId w:val="26"/>
              </w:numPr>
              <w:rPr>
                <w:rFonts w:cs="Times New Roman"/>
                <w:szCs w:val="24"/>
              </w:rPr>
            </w:pPr>
            <w:r w:rsidRPr="00EC2CEE">
              <w:t>il est raisonnable de croire qu</w:t>
            </w:r>
            <w:r w:rsidR="00180A75" w:rsidRPr="00EC2CEE">
              <w:t>’</w:t>
            </w:r>
            <w:r w:rsidRPr="00EC2CEE">
              <w:t>une personne risque de nuire à une autre personne;</w:t>
            </w:r>
          </w:p>
          <w:p w14:paraId="0402C96C" w14:textId="77777777" w:rsidR="00144E4E" w:rsidRPr="00EC2CEE" w:rsidRDefault="00144E4E" w:rsidP="00144E4E">
            <w:pPr>
              <w:pStyle w:val="NoSpacing"/>
              <w:ind w:left="720"/>
              <w:rPr>
                <w:rFonts w:cs="Times New Roman"/>
                <w:szCs w:val="24"/>
              </w:rPr>
            </w:pPr>
          </w:p>
          <w:p w14:paraId="787F3304" w14:textId="523D9ECA" w:rsidR="00144E4E" w:rsidRPr="00EC2CEE" w:rsidRDefault="00144E4E" w:rsidP="00144E4E">
            <w:pPr>
              <w:pStyle w:val="NoSpacing"/>
              <w:numPr>
                <w:ilvl w:val="0"/>
                <w:numId w:val="26"/>
              </w:numPr>
              <w:rPr>
                <w:rFonts w:cs="Times New Roman"/>
                <w:szCs w:val="24"/>
              </w:rPr>
            </w:pPr>
            <w:r w:rsidRPr="00EC2CEE">
              <w:t>il existe un motif raisonnable de croire que d</w:t>
            </w:r>
            <w:r w:rsidR="00180A75" w:rsidRPr="00EC2CEE">
              <w:t>’</w:t>
            </w:r>
            <w:r w:rsidRPr="00EC2CEE">
              <w:t>autres personnes, au CMR ou dans l</w:t>
            </w:r>
            <w:r w:rsidR="00180A75" w:rsidRPr="00EC2CEE">
              <w:t>’</w:t>
            </w:r>
            <w:r w:rsidRPr="00EC2CEE">
              <w:t>ensemble de la communauté, peuvent être en danger;</w:t>
            </w:r>
          </w:p>
          <w:p w14:paraId="672C20CA" w14:textId="77777777" w:rsidR="00144E4E" w:rsidRPr="00EC2CEE" w:rsidRDefault="00144E4E" w:rsidP="00144E4E">
            <w:pPr>
              <w:pStyle w:val="NoSpacing"/>
              <w:ind w:left="720"/>
              <w:rPr>
                <w:rFonts w:cs="Times New Roman"/>
                <w:szCs w:val="24"/>
              </w:rPr>
            </w:pPr>
          </w:p>
          <w:p w14:paraId="0F29F0DC" w14:textId="11B9BB30" w:rsidR="00144E4E" w:rsidRPr="00EC2CEE" w:rsidRDefault="00144E4E" w:rsidP="00144E4E">
            <w:pPr>
              <w:pStyle w:val="NoSpacing"/>
              <w:numPr>
                <w:ilvl w:val="0"/>
                <w:numId w:val="26"/>
              </w:numPr>
              <w:rPr>
                <w:rFonts w:cs="Times New Roman"/>
                <w:szCs w:val="24"/>
              </w:rPr>
            </w:pPr>
            <w:r w:rsidRPr="00EC2CEE">
              <w:t xml:space="preserve">un mineur est </w:t>
            </w:r>
            <w:r w:rsidR="00035402" w:rsidRPr="00EC2CEE">
              <w:t>concerné</w:t>
            </w:r>
            <w:r w:rsidRPr="00EC2CEE">
              <w:t>.</w:t>
            </w:r>
          </w:p>
          <w:p w14:paraId="05042F9A" w14:textId="77777777" w:rsidR="003B6FB3" w:rsidRPr="00EC2CEE" w:rsidRDefault="003B6FB3" w:rsidP="005F6647">
            <w:pPr>
              <w:pStyle w:val="NoSpacing"/>
              <w:rPr>
                <w:rFonts w:cs="Times New Roman"/>
                <w:szCs w:val="24"/>
              </w:rPr>
            </w:pPr>
          </w:p>
          <w:p w14:paraId="2A5431F2" w14:textId="76520C60" w:rsidR="00144E4E" w:rsidRPr="00EC2CEE" w:rsidRDefault="00144E4E" w:rsidP="009C21D0">
            <w:pPr>
              <w:pStyle w:val="NoSpacing"/>
              <w:ind w:left="360"/>
              <w:rPr>
                <w:rFonts w:cs="Times New Roman"/>
                <w:szCs w:val="24"/>
              </w:rPr>
            </w:pPr>
            <w:r w:rsidRPr="00EC2CEE">
              <w:t>L</w:t>
            </w:r>
            <w:r w:rsidR="00180A75" w:rsidRPr="00EC2CEE">
              <w:t>’</w:t>
            </w:r>
            <w:r w:rsidRPr="00EC2CEE">
              <w:t>ensemble du personnel, des membres du corps professoral et des stagiaires du CMR sont tenus de respecter la dignité et la vie privée des personnes mêlées à des incidents d</w:t>
            </w:r>
            <w:r w:rsidR="00180A75" w:rsidRPr="00EC2CEE">
              <w:t>’</w:t>
            </w:r>
            <w:r w:rsidRPr="00EC2CEE">
              <w:t>inconduite sexuelle en traitant de façon discrète toute l</w:t>
            </w:r>
            <w:r w:rsidR="00180A75" w:rsidRPr="00EC2CEE">
              <w:t>’</w:t>
            </w:r>
            <w:r w:rsidRPr="00EC2CEE">
              <w:t>information qui leur est divulguée ou signalée ou dont ils sont témoins. L</w:t>
            </w:r>
            <w:r w:rsidR="00180A75" w:rsidRPr="00EC2CEE">
              <w:t>’</w:t>
            </w:r>
            <w:r w:rsidRPr="00EC2CEE">
              <w:t>échange d</w:t>
            </w:r>
            <w:r w:rsidR="00180A75" w:rsidRPr="00EC2CEE">
              <w:t>’</w:t>
            </w:r>
            <w:r w:rsidRPr="00EC2CEE">
              <w:t>information est limité aux personnes qui doivent être mises au courant pour mettre en œuvre les processus énoncés dans le présent ordre. Il convient d</w:t>
            </w:r>
            <w:r w:rsidR="00180A75" w:rsidRPr="00EC2CEE">
              <w:t>’</w:t>
            </w:r>
            <w:r w:rsidRPr="00EC2CEE">
              <w:t>informer les personnes affectées ou les victimes et les personnes intimées des restrictions liées à la confidentialité qui peuvent exister.</w:t>
            </w:r>
          </w:p>
          <w:p w14:paraId="1165B525" w14:textId="02199420" w:rsidR="00144E4E" w:rsidRPr="00EC2CEE" w:rsidRDefault="00144E4E" w:rsidP="00144E4E">
            <w:pPr>
              <w:pStyle w:val="NoSpacing"/>
              <w:ind w:left="720"/>
              <w:rPr>
                <w:rFonts w:cs="Times New Roman"/>
                <w:szCs w:val="24"/>
              </w:rPr>
            </w:pPr>
          </w:p>
        </w:tc>
      </w:tr>
    </w:tbl>
    <w:p w14:paraId="1B58C870" w14:textId="4418B4BC" w:rsidR="00732921" w:rsidRPr="00EC2CEE" w:rsidRDefault="002052DF" w:rsidP="002052DF">
      <w:pPr>
        <w:pStyle w:val="Heading1"/>
      </w:pPr>
      <w:bookmarkStart w:id="4" w:name="_Toc201921574"/>
      <w:r w:rsidRPr="00EC2CEE">
        <w:lastRenderedPageBreak/>
        <w:t>5.</w:t>
      </w:r>
      <w:r w:rsidRPr="00EC2CEE">
        <w:tab/>
        <w:t>Divulgation et soutien</w:t>
      </w:r>
      <w:bookmarkEnd w:id="4"/>
    </w:p>
    <w:p w14:paraId="34AD4FF0" w14:textId="77777777" w:rsidR="002052DF" w:rsidRPr="00EC2CEE" w:rsidRDefault="002052DF" w:rsidP="002052DF"/>
    <w:tbl>
      <w:tblPr>
        <w:tblStyle w:val="TableGridLight"/>
        <w:tblW w:w="0" w:type="auto"/>
        <w:tblLook w:val="04A0" w:firstRow="1" w:lastRow="0" w:firstColumn="1" w:lastColumn="0" w:noHBand="0" w:noVBand="1"/>
      </w:tblPr>
      <w:tblGrid>
        <w:gridCol w:w="846"/>
        <w:gridCol w:w="1701"/>
        <w:gridCol w:w="6803"/>
      </w:tblGrid>
      <w:tr w:rsidR="00144E4E" w:rsidRPr="00EC2CEE" w14:paraId="60B30446" w14:textId="77777777" w:rsidTr="002052DF">
        <w:tc>
          <w:tcPr>
            <w:tcW w:w="846" w:type="dxa"/>
          </w:tcPr>
          <w:p w14:paraId="582B67E8" w14:textId="7E943A4E" w:rsidR="00144E4E" w:rsidRPr="00EC2CEE" w:rsidRDefault="002052DF" w:rsidP="00F75663">
            <w:pPr>
              <w:pStyle w:val="NoSpacing"/>
              <w:rPr>
                <w:rFonts w:cs="Times New Roman"/>
                <w:b/>
                <w:bCs/>
                <w:szCs w:val="24"/>
              </w:rPr>
            </w:pPr>
            <w:r w:rsidRPr="00EC2CEE">
              <w:rPr>
                <w:b/>
                <w:bCs/>
                <w:szCs w:val="24"/>
              </w:rPr>
              <w:t xml:space="preserve">5.1 </w:t>
            </w:r>
          </w:p>
        </w:tc>
        <w:tc>
          <w:tcPr>
            <w:tcW w:w="1701" w:type="dxa"/>
          </w:tcPr>
          <w:p w14:paraId="143E0706" w14:textId="26BA7C3A" w:rsidR="00144E4E" w:rsidRPr="00EC2CEE" w:rsidRDefault="002052DF" w:rsidP="00F75663">
            <w:pPr>
              <w:pStyle w:val="NoSpacing"/>
              <w:rPr>
                <w:rFonts w:cs="Times New Roman"/>
                <w:b/>
                <w:bCs/>
                <w:szCs w:val="24"/>
              </w:rPr>
            </w:pPr>
            <w:r w:rsidRPr="00EC2CEE">
              <w:rPr>
                <w:b/>
                <w:bCs/>
                <w:szCs w:val="24"/>
              </w:rPr>
              <w:t>Énoncé de divulgation et de soutien</w:t>
            </w:r>
          </w:p>
        </w:tc>
        <w:tc>
          <w:tcPr>
            <w:tcW w:w="6803" w:type="dxa"/>
          </w:tcPr>
          <w:p w14:paraId="1C0EE38D" w14:textId="3840FF18" w:rsidR="00144E4E" w:rsidRPr="00EC2CEE" w:rsidRDefault="002052DF" w:rsidP="002052DF">
            <w:pPr>
              <w:pStyle w:val="NoSpacing"/>
            </w:pPr>
            <w:r w:rsidRPr="00EC2CEE">
              <w:t>Certaines personnes affectées ou victimes pourraient décider de dévoiler ou de signaler sous le sceau de la confidentialité un incident d</w:t>
            </w:r>
            <w:r w:rsidR="00180A75" w:rsidRPr="00EC2CEE">
              <w:t>’</w:t>
            </w:r>
            <w:r w:rsidRPr="00EC2CEE">
              <w:t>inconduite sexuelle à une personne en qui elles ont confiance pour obtenir de l</w:t>
            </w:r>
            <w:r w:rsidR="00180A75" w:rsidRPr="00EC2CEE">
              <w:t>’</w:t>
            </w:r>
            <w:r w:rsidRPr="00EC2CEE">
              <w:t>aide ou des conseils, sans toutefois porter plainte officiellement. Les personnes affectées ou les victimes ne sont pas tenues de signaler un incident d</w:t>
            </w:r>
            <w:r w:rsidR="00180A75" w:rsidRPr="00EC2CEE">
              <w:t>’</w:t>
            </w:r>
            <w:r w:rsidRPr="00EC2CEE">
              <w:t>inconduite sexuelle afin d</w:t>
            </w:r>
            <w:r w:rsidR="00180A75" w:rsidRPr="00EC2CEE">
              <w:t>’</w:t>
            </w:r>
            <w:r w:rsidRPr="00EC2CEE">
              <w:t>obtenir du soutien et des services du CMR</w:t>
            </w:r>
            <w:r w:rsidR="00875779" w:rsidRPr="00EC2CEE">
              <w:t xml:space="preserve">. </w:t>
            </w:r>
            <w:r w:rsidRPr="00EC2CEE">
              <w:t>L</w:t>
            </w:r>
            <w:r w:rsidR="00180A75" w:rsidRPr="00EC2CEE">
              <w:t>’</w:t>
            </w:r>
            <w:r w:rsidRPr="00EC2CEE">
              <w:t>annexe B fournit une liste des services de soutien.</w:t>
            </w:r>
          </w:p>
          <w:p w14:paraId="4F72A1DD" w14:textId="77777777" w:rsidR="002052DF" w:rsidRPr="00EC2CEE" w:rsidRDefault="002052DF" w:rsidP="002052DF">
            <w:pPr>
              <w:pStyle w:val="NoSpacing"/>
              <w:rPr>
                <w:b/>
              </w:rPr>
            </w:pPr>
          </w:p>
          <w:p w14:paraId="639188E6" w14:textId="461425FF" w:rsidR="002052DF" w:rsidRPr="00EC2CEE" w:rsidRDefault="002052DF" w:rsidP="002052DF">
            <w:pPr>
              <w:pStyle w:val="NoSpacing"/>
              <w:rPr>
                <w:bCs/>
              </w:rPr>
            </w:pPr>
            <w:r w:rsidRPr="00EC2CEE">
              <w:t>Le fait de divulguer un incident d</w:t>
            </w:r>
            <w:r w:rsidR="00180A75" w:rsidRPr="00EC2CEE">
              <w:t>’</w:t>
            </w:r>
            <w:r w:rsidRPr="00EC2CEE">
              <w:t>inconduite sexuelle à une personne de confiance n</w:t>
            </w:r>
            <w:r w:rsidR="00180A75" w:rsidRPr="00EC2CEE">
              <w:t>’</w:t>
            </w:r>
            <w:r w:rsidRPr="00EC2CEE">
              <w:t>empêche pas une personne affectée ou une victime d</w:t>
            </w:r>
            <w:r w:rsidR="00180A75" w:rsidRPr="00EC2CEE">
              <w:t>’</w:t>
            </w:r>
            <w:r w:rsidRPr="00EC2CEE">
              <w:t>une inconduite sexuelle de décider plus tard de signaler l</w:t>
            </w:r>
            <w:r w:rsidR="00180A75" w:rsidRPr="00EC2CEE">
              <w:t>’</w:t>
            </w:r>
            <w:r w:rsidRPr="00EC2CEE">
              <w:t>incident à une autorité officielle</w:t>
            </w:r>
            <w:r w:rsidR="00875779" w:rsidRPr="00EC2CEE">
              <w:t xml:space="preserve">. </w:t>
            </w:r>
            <w:r w:rsidRPr="00EC2CEE">
              <w:t xml:space="preserve">Une divulgation à titre confidentiel qui ne mène pas automatiquement à un signalement </w:t>
            </w:r>
            <w:r w:rsidRPr="00EC2CEE">
              <w:lastRenderedPageBreak/>
              <w:t>officiel est à la base d</w:t>
            </w:r>
            <w:r w:rsidR="00180A75" w:rsidRPr="00EC2CEE">
              <w:t>’</w:t>
            </w:r>
            <w:r w:rsidRPr="00EC2CEE">
              <w:t>un soutien respectueux axé sur les besoins de la personne affectée ou la victime.</w:t>
            </w:r>
          </w:p>
          <w:p w14:paraId="1CEEF076" w14:textId="77777777" w:rsidR="002052DF" w:rsidRPr="00EC2CEE" w:rsidRDefault="002052DF" w:rsidP="002052DF">
            <w:pPr>
              <w:pStyle w:val="NoSpacing"/>
              <w:rPr>
                <w:bCs/>
              </w:rPr>
            </w:pPr>
          </w:p>
          <w:p w14:paraId="63924747" w14:textId="02DA687E" w:rsidR="00590D3A" w:rsidRPr="00EC2CEE" w:rsidRDefault="002052DF" w:rsidP="00C910EC">
            <w:pPr>
              <w:pStyle w:val="NoSpacing"/>
              <w:rPr>
                <w:bCs/>
              </w:rPr>
            </w:pPr>
            <w:r w:rsidRPr="00EC2CEE">
              <w:t>Les personnes à qui une inconduite sexuelle est divulguée sont tenues de respecter le droit de la personne affectée ou la victime d</w:t>
            </w:r>
            <w:r w:rsidR="00180A75" w:rsidRPr="00EC2CEE">
              <w:t>’</w:t>
            </w:r>
            <w:r w:rsidRPr="00EC2CEE">
              <w:t>une inconduite sexuelle de déterminer les services qu</w:t>
            </w:r>
            <w:r w:rsidR="00180A75" w:rsidRPr="00EC2CEE">
              <w:t>’</w:t>
            </w:r>
            <w:r w:rsidRPr="00EC2CEE">
              <w:t>elle juge les plus appropriés, de même que le droit de décider si elle souhaite divulguer l</w:t>
            </w:r>
            <w:r w:rsidR="00180A75" w:rsidRPr="00EC2CEE">
              <w:t>’</w:t>
            </w:r>
            <w:r w:rsidRPr="00EC2CEE">
              <w:t>incident à la police ou à la chaîne de commandement (pour de plus amples renseignements concernant la divulgation d</w:t>
            </w:r>
            <w:r w:rsidR="00180A75" w:rsidRPr="00EC2CEE">
              <w:t>’</w:t>
            </w:r>
            <w:r w:rsidRPr="00EC2CEE">
              <w:t>une inconduite sexuelle, veuillez consulter l</w:t>
            </w:r>
            <w:r w:rsidR="00180A75" w:rsidRPr="00EC2CEE">
              <w:t>’</w:t>
            </w:r>
            <w:r w:rsidRPr="00EC2CEE">
              <w:t>annexe A).</w:t>
            </w:r>
          </w:p>
          <w:p w14:paraId="234695CC" w14:textId="77777777" w:rsidR="002052DF" w:rsidRPr="00EC2CEE" w:rsidRDefault="002052DF" w:rsidP="002052DF">
            <w:pPr>
              <w:pStyle w:val="NoSpacing"/>
              <w:rPr>
                <w:bCs/>
              </w:rPr>
            </w:pPr>
          </w:p>
          <w:p w14:paraId="407FBBE0" w14:textId="61CB6CE7" w:rsidR="002052DF" w:rsidRPr="00EC2CEE" w:rsidRDefault="002052DF" w:rsidP="002052DF">
            <w:pPr>
              <w:pStyle w:val="NoSpacing"/>
              <w:rPr>
                <w:bCs/>
              </w:rPr>
            </w:pPr>
            <w:r w:rsidRPr="00EC2CEE">
              <w:t xml:space="preserve">Il est essentiel que les personnes qui reçoivent un rapport soient </w:t>
            </w:r>
            <w:r w:rsidRPr="00EC2CEE">
              <w:rPr>
                <w:highlight w:val="yellow"/>
              </w:rPr>
              <w:t xml:space="preserve">impartiales et en soutien. La diversité au sein de notre communauté signifie que certaines personnes peuvent faire face à des obstacles supplémentaires </w:t>
            </w:r>
            <w:r w:rsidR="005D0055" w:rsidRPr="00EC2CEE">
              <w:rPr>
                <w:highlight w:val="yellow"/>
              </w:rPr>
              <w:t xml:space="preserve">pour signaler des incidents </w:t>
            </w:r>
            <w:r w:rsidRPr="00EC2CEE">
              <w:rPr>
                <w:highlight w:val="yellow"/>
              </w:rPr>
              <w:t>en raison de</w:t>
            </w:r>
            <w:r w:rsidR="005D5D21" w:rsidRPr="00EC2CEE">
              <w:rPr>
                <w:highlight w:val="yellow"/>
              </w:rPr>
              <w:t xml:space="preserve"> leur </w:t>
            </w:r>
            <w:r w:rsidRPr="00EC2CEE">
              <w:rPr>
                <w:highlight w:val="yellow"/>
              </w:rPr>
              <w:t>expression et de l</w:t>
            </w:r>
            <w:r w:rsidR="00180A75" w:rsidRPr="00EC2CEE">
              <w:rPr>
                <w:highlight w:val="yellow"/>
              </w:rPr>
              <w:t>’</w:t>
            </w:r>
            <w:r w:rsidRPr="00EC2CEE">
              <w:rPr>
                <w:highlight w:val="yellow"/>
              </w:rPr>
              <w:t>identité d</w:t>
            </w:r>
            <w:r w:rsidRPr="00EC2CEE">
              <w:t>e genre, de l</w:t>
            </w:r>
            <w:r w:rsidR="00180A75" w:rsidRPr="00EC2CEE">
              <w:t>’</w:t>
            </w:r>
            <w:r w:rsidRPr="00EC2CEE">
              <w:t>orientation sexuelle, de l</w:t>
            </w:r>
            <w:r w:rsidR="00180A75" w:rsidRPr="00EC2CEE">
              <w:t>’</w:t>
            </w:r>
            <w:r w:rsidRPr="00EC2CEE">
              <w:t>origine culturelle ou ethnique et d</w:t>
            </w:r>
            <w:r w:rsidR="00180A75" w:rsidRPr="00EC2CEE">
              <w:t>’</w:t>
            </w:r>
            <w:r w:rsidRPr="00EC2CEE">
              <w:t>autres facteurs fondés sur l</w:t>
            </w:r>
            <w:r w:rsidR="00180A75" w:rsidRPr="00EC2CEE">
              <w:t>’</w:t>
            </w:r>
            <w:r w:rsidRPr="00EC2CEE">
              <w:t>identité.</w:t>
            </w:r>
          </w:p>
          <w:p w14:paraId="2AA03F8E" w14:textId="71C227DA" w:rsidR="002052DF" w:rsidRPr="00EC2CEE" w:rsidRDefault="002052DF" w:rsidP="002052DF">
            <w:pPr>
              <w:pStyle w:val="NoSpacing"/>
              <w:rPr>
                <w:bCs/>
              </w:rPr>
            </w:pPr>
          </w:p>
        </w:tc>
      </w:tr>
    </w:tbl>
    <w:p w14:paraId="539F68D6" w14:textId="2148D931" w:rsidR="00144E4E" w:rsidRPr="00EC2CEE" w:rsidRDefault="002052DF" w:rsidP="002052DF">
      <w:pPr>
        <w:pStyle w:val="Heading1"/>
      </w:pPr>
      <w:bookmarkStart w:id="5" w:name="_Toc201921575"/>
      <w:r w:rsidRPr="00EC2CEE">
        <w:lastRenderedPageBreak/>
        <w:t>6.</w:t>
      </w:r>
      <w:r w:rsidRPr="00EC2CEE">
        <w:tab/>
        <w:t>Mesures provisoires</w:t>
      </w:r>
      <w:bookmarkEnd w:id="5"/>
    </w:p>
    <w:p w14:paraId="658E864A" w14:textId="77777777" w:rsidR="002052DF" w:rsidRPr="00EC2CEE" w:rsidRDefault="002052DF" w:rsidP="002052DF"/>
    <w:tbl>
      <w:tblPr>
        <w:tblStyle w:val="TableGridLight"/>
        <w:tblW w:w="0" w:type="auto"/>
        <w:tblLook w:val="04A0" w:firstRow="1" w:lastRow="0" w:firstColumn="1" w:lastColumn="0" w:noHBand="0" w:noVBand="1"/>
      </w:tblPr>
      <w:tblGrid>
        <w:gridCol w:w="846"/>
        <w:gridCol w:w="1701"/>
        <w:gridCol w:w="6803"/>
      </w:tblGrid>
      <w:tr w:rsidR="002052DF" w:rsidRPr="00EC2CEE" w14:paraId="1E5284DB" w14:textId="77777777" w:rsidTr="009C21D0">
        <w:tc>
          <w:tcPr>
            <w:tcW w:w="846" w:type="dxa"/>
          </w:tcPr>
          <w:p w14:paraId="727C0934" w14:textId="494A1C40" w:rsidR="002052DF" w:rsidRPr="00EC2CEE" w:rsidRDefault="002C1A43" w:rsidP="00F75663">
            <w:pPr>
              <w:pStyle w:val="NoSpacing"/>
              <w:rPr>
                <w:rFonts w:cs="Times New Roman"/>
                <w:b/>
                <w:bCs/>
                <w:szCs w:val="24"/>
              </w:rPr>
            </w:pPr>
            <w:r w:rsidRPr="00EC2CEE">
              <w:rPr>
                <w:b/>
                <w:bCs/>
                <w:szCs w:val="24"/>
              </w:rPr>
              <w:t>6.1</w:t>
            </w:r>
          </w:p>
        </w:tc>
        <w:tc>
          <w:tcPr>
            <w:tcW w:w="1701" w:type="dxa"/>
          </w:tcPr>
          <w:p w14:paraId="1B7A02FC" w14:textId="3614EFDB" w:rsidR="002052DF" w:rsidRPr="00EC2CEE" w:rsidRDefault="002C1A43" w:rsidP="00F75663">
            <w:pPr>
              <w:pStyle w:val="NoSpacing"/>
              <w:rPr>
                <w:rFonts w:cs="Times New Roman"/>
                <w:b/>
                <w:bCs/>
                <w:szCs w:val="24"/>
              </w:rPr>
            </w:pPr>
            <w:r w:rsidRPr="00EC2CEE">
              <w:rPr>
                <w:b/>
                <w:bCs/>
                <w:szCs w:val="24"/>
              </w:rPr>
              <w:t>Mesures provisoires</w:t>
            </w:r>
          </w:p>
        </w:tc>
        <w:tc>
          <w:tcPr>
            <w:tcW w:w="6803" w:type="dxa"/>
          </w:tcPr>
          <w:p w14:paraId="36A41EC9" w14:textId="50246DDE" w:rsidR="002052DF" w:rsidRPr="00EC2CEE" w:rsidRDefault="002C1A43" w:rsidP="00F75663">
            <w:pPr>
              <w:pStyle w:val="NoSpacing"/>
              <w:rPr>
                <w:szCs w:val="24"/>
              </w:rPr>
            </w:pPr>
            <w:r w:rsidRPr="00EC2CEE">
              <w:t>Toute personne concernée par une inconduite sexuelle recevra les mesures provisoires appropriées lors de la divulgation de l</w:t>
            </w:r>
            <w:r w:rsidR="00180A75" w:rsidRPr="00EC2CEE">
              <w:t>’</w:t>
            </w:r>
            <w:r w:rsidRPr="00EC2CEE">
              <w:t>incident d</w:t>
            </w:r>
            <w:r w:rsidR="00180A75" w:rsidRPr="00EC2CEE">
              <w:t>’</w:t>
            </w:r>
            <w:r w:rsidRPr="00EC2CEE">
              <w:t>inconduite sexuelle jusqu</w:t>
            </w:r>
            <w:r w:rsidR="00180A75" w:rsidRPr="00EC2CEE">
              <w:t>’</w:t>
            </w:r>
            <w:r w:rsidRPr="00EC2CEE">
              <w:t>à ce qu</w:t>
            </w:r>
            <w:r w:rsidR="00180A75" w:rsidRPr="00EC2CEE">
              <w:t>’</w:t>
            </w:r>
            <w:r w:rsidRPr="00EC2CEE">
              <w:t xml:space="preserve">elles ne soient plus nécessaires, comme il est défini par la </w:t>
            </w:r>
            <w:r w:rsidRPr="00EC2CEE">
              <w:rPr>
                <w:i/>
                <w:iCs/>
              </w:rPr>
              <w:t>Loi sur la défense nationale</w:t>
            </w:r>
            <w:r w:rsidRPr="00EC2CEE">
              <w:t xml:space="preserve"> (FAC) ou le </w:t>
            </w:r>
            <w:r w:rsidRPr="00EC2CEE">
              <w:rPr>
                <w:i/>
                <w:iCs/>
              </w:rPr>
              <w:t>Règlement sur la prévention du harcèlement et de la violence dans le lieu de travail</w:t>
            </w:r>
            <w:r w:rsidRPr="00EC2CEE">
              <w:t xml:space="preserve"> (MDN). Les mesures provisoires seront coordonnées et facilitées par la chaîne de commandement ou par le superviseur/gestionnaire, en consultation avec l</w:t>
            </w:r>
            <w:r w:rsidR="00180A75" w:rsidRPr="00EC2CEE">
              <w:t>’</w:t>
            </w:r>
            <w:r w:rsidRPr="00EC2CEE">
              <w:t>agent des relations de travail et d</w:t>
            </w:r>
            <w:r w:rsidR="00180A75" w:rsidRPr="00EC2CEE">
              <w:t>’</w:t>
            </w:r>
            <w:r w:rsidRPr="00EC2CEE">
              <w:t>autres experts en la matière, au besoin. Selon les activités exercées par la personne affectée ou la victime au CMR, les mesures provisoires peuvent notamment comprendre ce qui suit :</w:t>
            </w:r>
          </w:p>
          <w:p w14:paraId="4D3F73BB" w14:textId="77777777" w:rsidR="002C1A43" w:rsidRPr="00EC2CEE" w:rsidRDefault="002C1A43" w:rsidP="00F75663">
            <w:pPr>
              <w:pStyle w:val="NoSpacing"/>
              <w:rPr>
                <w:szCs w:val="24"/>
              </w:rPr>
            </w:pPr>
          </w:p>
          <w:p w14:paraId="5532E099" w14:textId="0FE7553C" w:rsidR="002C1A43" w:rsidRPr="00EC2CEE" w:rsidRDefault="002C1A43" w:rsidP="002C1A43">
            <w:pPr>
              <w:pStyle w:val="NoSpacing"/>
              <w:numPr>
                <w:ilvl w:val="0"/>
                <w:numId w:val="27"/>
              </w:numPr>
              <w:rPr>
                <w:rFonts w:cs="Times New Roman"/>
                <w:szCs w:val="24"/>
              </w:rPr>
            </w:pPr>
            <w:r w:rsidRPr="00EC2CEE">
              <w:t>un soutien académique, tel qu</w:t>
            </w:r>
            <w:r w:rsidR="00180A75" w:rsidRPr="00EC2CEE">
              <w:t>’</w:t>
            </w:r>
            <w:r w:rsidRPr="00EC2CEE">
              <w:t>un changement d</w:t>
            </w:r>
            <w:r w:rsidR="00180A75" w:rsidRPr="00EC2CEE">
              <w:t>’</w:t>
            </w:r>
            <w:r w:rsidRPr="00EC2CEE">
              <w:t>affectation des cours ou une modification de l</w:t>
            </w:r>
            <w:r w:rsidR="00180A75" w:rsidRPr="00EC2CEE">
              <w:t>’</w:t>
            </w:r>
            <w:r w:rsidRPr="00EC2CEE">
              <w:t>horaire des cours;</w:t>
            </w:r>
          </w:p>
          <w:p w14:paraId="1A270A30" w14:textId="77777777" w:rsidR="002C1A43" w:rsidRPr="00EC2CEE" w:rsidRDefault="002C1A43" w:rsidP="002C1A43">
            <w:pPr>
              <w:pStyle w:val="NoSpacing"/>
              <w:ind w:left="720"/>
              <w:rPr>
                <w:rFonts w:cs="Times New Roman"/>
                <w:szCs w:val="24"/>
              </w:rPr>
            </w:pPr>
          </w:p>
          <w:p w14:paraId="1DE187F6" w14:textId="38BD9FC3" w:rsidR="002C1A43" w:rsidRPr="00EC2CEE" w:rsidRDefault="002C1A43" w:rsidP="002C1A43">
            <w:pPr>
              <w:pStyle w:val="NoSpacing"/>
              <w:numPr>
                <w:ilvl w:val="0"/>
                <w:numId w:val="27"/>
              </w:numPr>
              <w:rPr>
                <w:rFonts w:cs="Times New Roman"/>
                <w:szCs w:val="24"/>
              </w:rPr>
            </w:pPr>
            <w:r w:rsidRPr="00EC2CEE">
              <w:t>une participation modifiée aux activités sociales ou activités de groupe obligatoires;</w:t>
            </w:r>
          </w:p>
          <w:p w14:paraId="77A266F1" w14:textId="77777777" w:rsidR="002C1A43" w:rsidRPr="00EC2CEE" w:rsidRDefault="002C1A43" w:rsidP="002C1A43">
            <w:pPr>
              <w:pStyle w:val="NoSpacing"/>
              <w:ind w:left="720"/>
              <w:rPr>
                <w:rFonts w:cs="Times New Roman"/>
                <w:szCs w:val="24"/>
              </w:rPr>
            </w:pPr>
          </w:p>
          <w:p w14:paraId="485D4449" w14:textId="5DA6D8D3" w:rsidR="002C1A43" w:rsidRPr="00EC2CEE" w:rsidRDefault="002C1A43" w:rsidP="002C1A43">
            <w:pPr>
              <w:pStyle w:val="NoSpacing"/>
              <w:numPr>
                <w:ilvl w:val="0"/>
                <w:numId w:val="27"/>
              </w:numPr>
              <w:rPr>
                <w:rFonts w:cs="Times New Roman"/>
                <w:szCs w:val="24"/>
              </w:rPr>
            </w:pPr>
            <w:r w:rsidRPr="00EC2CEE">
              <w:t>un horaire modifié des sports ou de l</w:t>
            </w:r>
            <w:r w:rsidR="00180A75" w:rsidRPr="00EC2CEE">
              <w:t>’</w:t>
            </w:r>
            <w:r w:rsidRPr="00EC2CEE">
              <w:t>entraînement;</w:t>
            </w:r>
          </w:p>
          <w:p w14:paraId="396F6C78" w14:textId="77777777" w:rsidR="002C1A43" w:rsidRPr="00EC2CEE" w:rsidRDefault="002C1A43" w:rsidP="002C1A43">
            <w:pPr>
              <w:pStyle w:val="NoSpacing"/>
              <w:ind w:left="720"/>
              <w:rPr>
                <w:rFonts w:cs="Times New Roman"/>
                <w:szCs w:val="24"/>
              </w:rPr>
            </w:pPr>
          </w:p>
          <w:p w14:paraId="7053CD52" w14:textId="64D90073" w:rsidR="002C1A43" w:rsidRPr="00EC2CEE" w:rsidRDefault="002C1A43" w:rsidP="002C1A43">
            <w:pPr>
              <w:pStyle w:val="NoSpacing"/>
              <w:numPr>
                <w:ilvl w:val="0"/>
                <w:numId w:val="27"/>
              </w:numPr>
              <w:rPr>
                <w:rFonts w:cs="Times New Roman"/>
                <w:szCs w:val="24"/>
              </w:rPr>
            </w:pPr>
            <w:r w:rsidRPr="00EC2CEE">
              <w:t>une affectation de casernes différentes;</w:t>
            </w:r>
          </w:p>
          <w:p w14:paraId="33B7F872" w14:textId="77777777" w:rsidR="002C1A43" w:rsidRPr="00EC2CEE" w:rsidRDefault="002C1A43" w:rsidP="002C1A43">
            <w:pPr>
              <w:pStyle w:val="NoSpacing"/>
              <w:ind w:left="720"/>
              <w:rPr>
                <w:rFonts w:cs="Times New Roman"/>
                <w:szCs w:val="24"/>
              </w:rPr>
            </w:pPr>
          </w:p>
          <w:p w14:paraId="6AB16E3F" w14:textId="73F327E5" w:rsidR="002C1A43" w:rsidRPr="00EC2CEE" w:rsidRDefault="002C1A43" w:rsidP="002C1A43">
            <w:pPr>
              <w:pStyle w:val="NoSpacing"/>
              <w:numPr>
                <w:ilvl w:val="0"/>
                <w:numId w:val="27"/>
              </w:numPr>
              <w:rPr>
                <w:rFonts w:cs="Times New Roman"/>
                <w:szCs w:val="24"/>
              </w:rPr>
            </w:pPr>
            <w:r w:rsidRPr="00EC2CEE">
              <w:lastRenderedPageBreak/>
              <w:t>des ajustements en milieu de travail peuvent être nécessaires pour séparer une personne affectée ou une victime d</w:t>
            </w:r>
            <w:r w:rsidR="00180A75" w:rsidRPr="00EC2CEE">
              <w:t>’</w:t>
            </w:r>
            <w:r w:rsidRPr="00EC2CEE">
              <w:t>une personne intimée.</w:t>
            </w:r>
          </w:p>
          <w:p w14:paraId="32D13106" w14:textId="3D11B09E" w:rsidR="002C1A43" w:rsidRPr="00EC2CEE" w:rsidRDefault="002C1A43" w:rsidP="002C1A43">
            <w:pPr>
              <w:pStyle w:val="NoSpacing"/>
              <w:ind w:left="720"/>
              <w:rPr>
                <w:rFonts w:cs="Times New Roman"/>
                <w:szCs w:val="24"/>
              </w:rPr>
            </w:pPr>
          </w:p>
        </w:tc>
      </w:tr>
    </w:tbl>
    <w:p w14:paraId="21339939" w14:textId="33C2F8A5" w:rsidR="002052DF" w:rsidRPr="00EC2CEE" w:rsidRDefault="002052DF" w:rsidP="002052DF">
      <w:pPr>
        <w:rPr>
          <w:rFonts w:cs="Times New Roman"/>
        </w:rPr>
      </w:pPr>
    </w:p>
    <w:p w14:paraId="59C99381" w14:textId="02C0E0BB" w:rsidR="002C1A43" w:rsidRPr="00EC2CEE" w:rsidRDefault="002C1A43" w:rsidP="002C1A43">
      <w:pPr>
        <w:pStyle w:val="Heading1"/>
      </w:pPr>
      <w:bookmarkStart w:id="6" w:name="_Toc201921576"/>
      <w:r w:rsidRPr="00EC2CEE">
        <w:t>7.</w:t>
      </w:r>
      <w:r w:rsidRPr="00EC2CEE">
        <w:tab/>
        <w:t>Processus de signalement</w:t>
      </w:r>
      <w:bookmarkEnd w:id="6"/>
    </w:p>
    <w:p w14:paraId="253A438B" w14:textId="77777777" w:rsidR="002C1A43" w:rsidRPr="00EC2CEE" w:rsidRDefault="002C1A43" w:rsidP="002C1A43">
      <w:pPr>
        <w:pStyle w:val="NoSpacing"/>
      </w:pPr>
    </w:p>
    <w:tbl>
      <w:tblPr>
        <w:tblStyle w:val="TableGridLight"/>
        <w:tblW w:w="0" w:type="auto"/>
        <w:tblLook w:val="04A0" w:firstRow="1" w:lastRow="0" w:firstColumn="1" w:lastColumn="0" w:noHBand="0" w:noVBand="1"/>
      </w:tblPr>
      <w:tblGrid>
        <w:gridCol w:w="846"/>
        <w:gridCol w:w="1701"/>
        <w:gridCol w:w="6803"/>
      </w:tblGrid>
      <w:tr w:rsidR="002052DF" w:rsidRPr="00EC2CEE" w14:paraId="7BD1561F" w14:textId="77777777" w:rsidTr="00D70B92">
        <w:tc>
          <w:tcPr>
            <w:tcW w:w="846" w:type="dxa"/>
          </w:tcPr>
          <w:p w14:paraId="54B976D6" w14:textId="721D6659" w:rsidR="002052DF" w:rsidRPr="00EC2CEE" w:rsidRDefault="002C1A43" w:rsidP="00F75663">
            <w:pPr>
              <w:pStyle w:val="NoSpacing"/>
              <w:rPr>
                <w:rFonts w:cs="Times New Roman"/>
                <w:b/>
                <w:bCs/>
                <w:szCs w:val="24"/>
              </w:rPr>
            </w:pPr>
            <w:r w:rsidRPr="00EC2CEE">
              <w:rPr>
                <w:b/>
                <w:bCs/>
                <w:szCs w:val="24"/>
              </w:rPr>
              <w:t>7.1</w:t>
            </w:r>
          </w:p>
        </w:tc>
        <w:tc>
          <w:tcPr>
            <w:tcW w:w="1701" w:type="dxa"/>
          </w:tcPr>
          <w:p w14:paraId="6A10DDF6" w14:textId="44359189" w:rsidR="002052DF" w:rsidRPr="00EC2CEE" w:rsidRDefault="002C1A43" w:rsidP="00F75663">
            <w:pPr>
              <w:pStyle w:val="NoSpacing"/>
              <w:rPr>
                <w:rFonts w:cs="Times New Roman"/>
                <w:b/>
                <w:bCs/>
                <w:szCs w:val="24"/>
              </w:rPr>
            </w:pPr>
            <w:r w:rsidRPr="00EC2CEE">
              <w:rPr>
                <w:b/>
                <w:bCs/>
                <w:szCs w:val="24"/>
              </w:rPr>
              <w:t xml:space="preserve">Signalement </w:t>
            </w:r>
          </w:p>
        </w:tc>
        <w:tc>
          <w:tcPr>
            <w:tcW w:w="6803" w:type="dxa"/>
          </w:tcPr>
          <w:p w14:paraId="15079B8C" w14:textId="32EAD2B4" w:rsidR="002C1A43" w:rsidRPr="00EC2CEE" w:rsidRDefault="002C1A43" w:rsidP="00F75663">
            <w:pPr>
              <w:pStyle w:val="NoSpacing"/>
              <w:rPr>
                <w:szCs w:val="24"/>
              </w:rPr>
            </w:pPr>
            <w:r w:rsidRPr="00EC2CEE">
              <w:t>Si une personne affectée ou une victime souhaite signaler un incident d</w:t>
            </w:r>
            <w:r w:rsidR="00180A75" w:rsidRPr="00EC2CEE">
              <w:t>’</w:t>
            </w:r>
            <w:r w:rsidRPr="00EC2CEE">
              <w:t>inconduite sexuelle,</w:t>
            </w:r>
            <w:r w:rsidRPr="00EC2CEE">
              <w:rPr>
                <w:b/>
                <w:szCs w:val="24"/>
              </w:rPr>
              <w:t xml:space="preserve"> </w:t>
            </w:r>
            <w:r w:rsidRPr="00EC2CEE">
              <w:t xml:space="preserve">elle dispose des options de signalement ci-après sur le campus du CMR. Une liste détaillée des ressources offertes dans la région de Kingston se trouve à </w:t>
            </w:r>
            <w:sdt>
              <w:sdtPr>
                <w:tag w:val="goog_rdk_12"/>
                <w:id w:val="-837694156"/>
              </w:sdtPr>
              <w:sdtEndPr/>
              <w:sdtContent/>
            </w:sdt>
            <w:r w:rsidRPr="00EC2CEE">
              <w:t>l</w:t>
            </w:r>
            <w:r w:rsidR="00180A75" w:rsidRPr="00EC2CEE">
              <w:t>’</w:t>
            </w:r>
            <w:r w:rsidRPr="00EC2CEE">
              <w:t>annexe B.</w:t>
            </w:r>
          </w:p>
          <w:p w14:paraId="3C18B7D6" w14:textId="77777777" w:rsidR="002C1A43" w:rsidRPr="00EC2CEE" w:rsidRDefault="002C1A43" w:rsidP="00F75663">
            <w:pPr>
              <w:pStyle w:val="NoSpacing"/>
              <w:rPr>
                <w:szCs w:val="24"/>
              </w:rPr>
            </w:pPr>
          </w:p>
          <w:p w14:paraId="43413B30" w14:textId="524E8084" w:rsidR="002C1A43" w:rsidRPr="00EC2CEE" w:rsidRDefault="002C1A43" w:rsidP="002C1A43">
            <w:pPr>
              <w:pStyle w:val="NoSpacing"/>
              <w:numPr>
                <w:ilvl w:val="0"/>
                <w:numId w:val="28"/>
              </w:numPr>
              <w:rPr>
                <w:rFonts w:cs="Times New Roman"/>
                <w:szCs w:val="24"/>
              </w:rPr>
            </w:pPr>
            <w:r w:rsidRPr="00EC2CEE">
              <w:t>À tout directeur.</w:t>
            </w:r>
          </w:p>
          <w:p w14:paraId="124B785A" w14:textId="77777777" w:rsidR="009C21D0" w:rsidRPr="00EC2CEE" w:rsidRDefault="009C21D0" w:rsidP="009C21D0">
            <w:pPr>
              <w:pStyle w:val="NoSpacing"/>
              <w:ind w:left="360"/>
              <w:rPr>
                <w:rFonts w:cs="Times New Roman"/>
                <w:szCs w:val="24"/>
              </w:rPr>
            </w:pPr>
          </w:p>
          <w:p w14:paraId="2A79388F" w14:textId="7454D14F" w:rsidR="002C1A43" w:rsidRPr="00EC2CEE" w:rsidRDefault="002C1A43" w:rsidP="002C1A43">
            <w:pPr>
              <w:pStyle w:val="NoSpacing"/>
              <w:numPr>
                <w:ilvl w:val="0"/>
                <w:numId w:val="28"/>
              </w:numPr>
              <w:rPr>
                <w:rFonts w:cs="Times New Roman"/>
                <w:szCs w:val="24"/>
              </w:rPr>
            </w:pPr>
            <w:r w:rsidRPr="00EC2CEE">
              <w:t>À la chaîne de commandement/au superviseur.</w:t>
            </w:r>
          </w:p>
          <w:p w14:paraId="74EEC1E0" w14:textId="77777777" w:rsidR="009C21D0" w:rsidRPr="00EC2CEE" w:rsidRDefault="009C21D0" w:rsidP="009C21D0">
            <w:pPr>
              <w:pStyle w:val="NoSpacing"/>
              <w:ind w:left="720"/>
              <w:rPr>
                <w:rFonts w:cs="Times New Roman"/>
                <w:szCs w:val="24"/>
              </w:rPr>
            </w:pPr>
          </w:p>
          <w:p w14:paraId="0D4EEA23" w14:textId="5C223482" w:rsidR="002C1A43" w:rsidRPr="00EC2CEE" w:rsidRDefault="002C1A43" w:rsidP="002C1A43">
            <w:pPr>
              <w:pStyle w:val="NoSpacing"/>
              <w:numPr>
                <w:ilvl w:val="0"/>
                <w:numId w:val="28"/>
              </w:numPr>
              <w:rPr>
                <w:rFonts w:cs="Times New Roman"/>
                <w:szCs w:val="24"/>
              </w:rPr>
            </w:pPr>
            <w:r w:rsidRPr="00EC2CEE">
              <w:t>Au Centre de soutien et de ressources sur l</w:t>
            </w:r>
            <w:r w:rsidR="00180A75" w:rsidRPr="00EC2CEE">
              <w:t>’</w:t>
            </w:r>
            <w:r w:rsidRPr="00EC2CEE">
              <w:t>inconduite sexuelle (</w:t>
            </w:r>
            <w:r w:rsidR="00D8081D" w:rsidRPr="00EC2CEE">
              <w:t>24</w:t>
            </w:r>
            <w:r w:rsidR="00087C1A" w:rsidRPr="00EC2CEE">
              <w:t> </w:t>
            </w:r>
            <w:r w:rsidR="00D8081D" w:rsidRPr="00EC2CEE">
              <w:t>heures sur 24, 7</w:t>
            </w:r>
            <w:r w:rsidR="00087C1A" w:rsidRPr="00EC2CEE">
              <w:t> </w:t>
            </w:r>
            <w:r w:rsidR="00D8081D" w:rsidRPr="00EC2CEE">
              <w:t>jours sur 7</w:t>
            </w:r>
            <w:r w:rsidRPr="00EC2CEE">
              <w:t>).</w:t>
            </w:r>
          </w:p>
          <w:p w14:paraId="76D9BD45" w14:textId="77777777" w:rsidR="009C21D0" w:rsidRPr="00EC2CEE" w:rsidRDefault="009C21D0" w:rsidP="009C21D0">
            <w:pPr>
              <w:pStyle w:val="NoSpacing"/>
              <w:ind w:left="720"/>
              <w:rPr>
                <w:rFonts w:cs="Times New Roman"/>
                <w:szCs w:val="24"/>
              </w:rPr>
            </w:pPr>
          </w:p>
          <w:p w14:paraId="66E348B0" w14:textId="27D2FA05" w:rsidR="002C1A43" w:rsidRPr="00EC2CEE" w:rsidRDefault="002C1A43" w:rsidP="002C1A43">
            <w:pPr>
              <w:pStyle w:val="NoSpacing"/>
              <w:numPr>
                <w:ilvl w:val="0"/>
                <w:numId w:val="28"/>
              </w:numPr>
              <w:rPr>
                <w:rFonts w:cs="Times New Roman"/>
                <w:szCs w:val="24"/>
              </w:rPr>
            </w:pPr>
            <w:r w:rsidRPr="00EC2CEE">
              <w:t>À l</w:t>
            </w:r>
            <w:r w:rsidR="00180A75" w:rsidRPr="00EC2CEE">
              <w:t>’</w:t>
            </w:r>
            <w:r w:rsidRPr="00EC2CEE">
              <w:t>officier de service (</w:t>
            </w:r>
            <w:r w:rsidR="00D8081D" w:rsidRPr="00EC2CEE">
              <w:t>24</w:t>
            </w:r>
            <w:r w:rsidR="00087C1A" w:rsidRPr="00EC2CEE">
              <w:t> </w:t>
            </w:r>
            <w:r w:rsidR="00D8081D" w:rsidRPr="00EC2CEE">
              <w:t>heures sur 24, 7</w:t>
            </w:r>
            <w:r w:rsidR="00087C1A" w:rsidRPr="00EC2CEE">
              <w:t> </w:t>
            </w:r>
            <w:r w:rsidR="00D8081D" w:rsidRPr="00EC2CEE">
              <w:t>jours sur 7</w:t>
            </w:r>
            <w:r w:rsidRPr="00EC2CEE">
              <w:t>).</w:t>
            </w:r>
          </w:p>
          <w:p w14:paraId="7BC3E25D" w14:textId="77777777" w:rsidR="009C21D0" w:rsidRPr="00EC2CEE" w:rsidRDefault="009C21D0" w:rsidP="009C21D0">
            <w:pPr>
              <w:pStyle w:val="NoSpacing"/>
              <w:ind w:left="720"/>
              <w:rPr>
                <w:rFonts w:cs="Times New Roman"/>
                <w:szCs w:val="24"/>
              </w:rPr>
            </w:pPr>
          </w:p>
          <w:p w14:paraId="7E2A4CFF" w14:textId="63CE533A" w:rsidR="009C21D0" w:rsidRPr="00EC2CEE" w:rsidRDefault="009C21D0" w:rsidP="002C1A43">
            <w:pPr>
              <w:pStyle w:val="NoSpacing"/>
              <w:numPr>
                <w:ilvl w:val="0"/>
                <w:numId w:val="28"/>
              </w:numPr>
              <w:rPr>
                <w:rFonts w:cs="Times New Roman"/>
                <w:szCs w:val="24"/>
              </w:rPr>
            </w:pPr>
            <w:r w:rsidRPr="00EC2CEE">
              <w:t>À l</w:t>
            </w:r>
            <w:r w:rsidR="00180A75" w:rsidRPr="00EC2CEE">
              <w:t>’</w:t>
            </w:r>
            <w:r w:rsidRPr="00EC2CEE">
              <w:t>officier de service du Collège (</w:t>
            </w:r>
            <w:r w:rsidR="00D8081D" w:rsidRPr="00EC2CEE">
              <w:t>24</w:t>
            </w:r>
            <w:r w:rsidR="00087C1A" w:rsidRPr="00EC2CEE">
              <w:t> </w:t>
            </w:r>
            <w:r w:rsidR="00D8081D" w:rsidRPr="00EC2CEE">
              <w:t>heures sur 24, 7</w:t>
            </w:r>
            <w:r w:rsidR="00087C1A" w:rsidRPr="00EC2CEE">
              <w:t> </w:t>
            </w:r>
            <w:r w:rsidR="00D8081D" w:rsidRPr="00EC2CEE">
              <w:t>jours sur 7</w:t>
            </w:r>
            <w:r w:rsidRPr="00EC2CEE">
              <w:t>).</w:t>
            </w:r>
          </w:p>
          <w:p w14:paraId="595040EF" w14:textId="77777777" w:rsidR="009C21D0" w:rsidRPr="00EC2CEE" w:rsidRDefault="009C21D0" w:rsidP="009C21D0">
            <w:pPr>
              <w:pStyle w:val="NoSpacing"/>
              <w:ind w:left="720"/>
              <w:rPr>
                <w:rFonts w:cs="Times New Roman"/>
                <w:szCs w:val="24"/>
              </w:rPr>
            </w:pPr>
          </w:p>
          <w:p w14:paraId="5F22AA34" w14:textId="7D5BC7DC" w:rsidR="009C21D0" w:rsidRPr="00EC2CEE" w:rsidRDefault="009C21D0" w:rsidP="002C1A43">
            <w:pPr>
              <w:pStyle w:val="NoSpacing"/>
              <w:numPr>
                <w:ilvl w:val="0"/>
                <w:numId w:val="28"/>
              </w:numPr>
              <w:rPr>
                <w:rFonts w:cs="Times New Roman"/>
                <w:szCs w:val="24"/>
              </w:rPr>
            </w:pPr>
            <w:r w:rsidRPr="00EC2CEE">
              <w:t>Aux téléphones d</w:t>
            </w:r>
            <w:r w:rsidR="00180A75" w:rsidRPr="00EC2CEE">
              <w:t>’</w:t>
            </w:r>
            <w:r w:rsidRPr="00EC2CEE">
              <w:t xml:space="preserve">urgence – Blue Light (liaison avec la Police militaire, </w:t>
            </w:r>
            <w:r w:rsidR="00D8081D" w:rsidRPr="00EC2CEE">
              <w:t>24</w:t>
            </w:r>
            <w:r w:rsidR="00087C1A" w:rsidRPr="00EC2CEE">
              <w:t> </w:t>
            </w:r>
            <w:r w:rsidR="00D8081D" w:rsidRPr="00EC2CEE">
              <w:t>heures sur 24, 7</w:t>
            </w:r>
            <w:r w:rsidR="00087C1A" w:rsidRPr="00EC2CEE">
              <w:t> </w:t>
            </w:r>
            <w:r w:rsidR="00D8081D" w:rsidRPr="00EC2CEE">
              <w:t>jours sur 7</w:t>
            </w:r>
            <w:r w:rsidRPr="00EC2CEE">
              <w:t>).</w:t>
            </w:r>
          </w:p>
          <w:p w14:paraId="54E4E6D5" w14:textId="77777777" w:rsidR="009C21D0" w:rsidRPr="00EC2CEE" w:rsidRDefault="009C21D0" w:rsidP="009C21D0">
            <w:pPr>
              <w:pStyle w:val="NoSpacing"/>
              <w:ind w:left="720"/>
              <w:rPr>
                <w:rFonts w:cs="Times New Roman"/>
                <w:szCs w:val="24"/>
              </w:rPr>
            </w:pPr>
          </w:p>
          <w:p w14:paraId="3EA37B94" w14:textId="450F436D" w:rsidR="009C21D0" w:rsidRPr="00EC2CEE" w:rsidRDefault="009C21D0" w:rsidP="009C21D0">
            <w:pPr>
              <w:pStyle w:val="NoSpacing"/>
              <w:numPr>
                <w:ilvl w:val="0"/>
                <w:numId w:val="28"/>
              </w:numPr>
              <w:rPr>
                <w:rFonts w:cs="Times New Roman"/>
                <w:szCs w:val="24"/>
              </w:rPr>
            </w:pPr>
            <w:r w:rsidRPr="00EC2CEE">
              <w:t>Au centre de contrôle de la sécurité du campus (</w:t>
            </w:r>
            <w:r w:rsidR="00D8081D" w:rsidRPr="00EC2CEE">
              <w:t>24</w:t>
            </w:r>
            <w:r w:rsidR="00087C1A" w:rsidRPr="00EC2CEE">
              <w:t> </w:t>
            </w:r>
            <w:r w:rsidR="00D8081D" w:rsidRPr="00EC2CEE">
              <w:t>heures sur 24, 7</w:t>
            </w:r>
            <w:r w:rsidR="00087C1A" w:rsidRPr="00EC2CEE">
              <w:t> </w:t>
            </w:r>
            <w:r w:rsidR="00D8081D" w:rsidRPr="00EC2CEE">
              <w:t>jours sur 7</w:t>
            </w:r>
            <w:r w:rsidRPr="00EC2CEE">
              <w:t>).</w:t>
            </w:r>
          </w:p>
          <w:p w14:paraId="0AFF3044" w14:textId="77777777" w:rsidR="009C21D0" w:rsidRPr="00EC2CEE" w:rsidRDefault="009C21D0" w:rsidP="009C21D0">
            <w:pPr>
              <w:pStyle w:val="NoSpacing"/>
              <w:ind w:left="360"/>
              <w:rPr>
                <w:rFonts w:cs="Times New Roman"/>
                <w:szCs w:val="24"/>
              </w:rPr>
            </w:pPr>
          </w:p>
          <w:p w14:paraId="322B8D52" w14:textId="7554E9A6" w:rsidR="009C21D0" w:rsidRPr="00EC2CEE" w:rsidRDefault="009C21D0" w:rsidP="009C21D0">
            <w:pPr>
              <w:pStyle w:val="NoSpacing"/>
              <w:ind w:left="360"/>
              <w:rPr>
                <w:szCs w:val="24"/>
              </w:rPr>
            </w:pPr>
            <w:r w:rsidRPr="00EC2CEE">
              <w:t>En cas d</w:t>
            </w:r>
            <w:r w:rsidR="00180A75" w:rsidRPr="00EC2CEE">
              <w:t>’</w:t>
            </w:r>
            <w:r w:rsidRPr="00EC2CEE">
              <w:t>urgence médicale ou de risque imminent de préjudice, composez le 911. Dans de tels cas, comme il est décrit à l</w:t>
            </w:r>
            <w:r w:rsidR="00180A75" w:rsidRPr="00EC2CEE">
              <w:t>’</w:t>
            </w:r>
            <w:r w:rsidRPr="00EC2CEE">
              <w:t>article 4.0, l</w:t>
            </w:r>
            <w:r w:rsidR="00180A75" w:rsidRPr="00EC2CEE">
              <w:t>’</w:t>
            </w:r>
            <w:r w:rsidRPr="00EC2CEE">
              <w:t>incident d</w:t>
            </w:r>
            <w:r w:rsidR="00180A75" w:rsidRPr="00EC2CEE">
              <w:t>’</w:t>
            </w:r>
            <w:r w:rsidRPr="00EC2CEE">
              <w:t>inconduite sexuelle serait automatiquement signalé à l</w:t>
            </w:r>
            <w:r w:rsidR="00180A75" w:rsidRPr="00EC2CEE">
              <w:t>’</w:t>
            </w:r>
            <w:r w:rsidRPr="00EC2CEE">
              <w:t>autorité compétente.</w:t>
            </w:r>
          </w:p>
          <w:p w14:paraId="242007A0" w14:textId="7AEB5BBE" w:rsidR="009C21D0" w:rsidRPr="00EC2CEE" w:rsidRDefault="009C21D0" w:rsidP="009C21D0">
            <w:pPr>
              <w:pStyle w:val="NoSpacing"/>
              <w:ind w:left="360"/>
              <w:rPr>
                <w:rFonts w:cs="Times New Roman"/>
                <w:szCs w:val="24"/>
              </w:rPr>
            </w:pPr>
          </w:p>
        </w:tc>
      </w:tr>
      <w:tr w:rsidR="002052DF" w:rsidRPr="00EC2CEE" w14:paraId="67B4F1F5" w14:textId="77777777" w:rsidTr="00D70B92">
        <w:tc>
          <w:tcPr>
            <w:tcW w:w="846" w:type="dxa"/>
          </w:tcPr>
          <w:p w14:paraId="28E1CAAA" w14:textId="38C72DEB" w:rsidR="002052DF" w:rsidRPr="00EC2CEE" w:rsidRDefault="009C21D0" w:rsidP="00F75663">
            <w:pPr>
              <w:pStyle w:val="NoSpacing"/>
              <w:rPr>
                <w:rFonts w:cs="Times New Roman"/>
                <w:b/>
                <w:bCs/>
                <w:szCs w:val="24"/>
              </w:rPr>
            </w:pPr>
            <w:r w:rsidRPr="00EC2CEE">
              <w:rPr>
                <w:b/>
                <w:bCs/>
                <w:szCs w:val="24"/>
              </w:rPr>
              <w:t>7.2</w:t>
            </w:r>
          </w:p>
        </w:tc>
        <w:tc>
          <w:tcPr>
            <w:tcW w:w="1701" w:type="dxa"/>
          </w:tcPr>
          <w:p w14:paraId="7928A8B5" w14:textId="3D31A537" w:rsidR="002052DF" w:rsidRPr="00EC2CEE" w:rsidRDefault="009C21D0" w:rsidP="00F75663">
            <w:pPr>
              <w:pStyle w:val="NoSpacing"/>
              <w:rPr>
                <w:rFonts w:cs="Times New Roman"/>
                <w:b/>
                <w:bCs/>
                <w:szCs w:val="24"/>
              </w:rPr>
            </w:pPr>
            <w:r w:rsidRPr="00EC2CEE">
              <w:rPr>
                <w:b/>
                <w:bCs/>
                <w:szCs w:val="24"/>
              </w:rPr>
              <w:t>Processus d</w:t>
            </w:r>
            <w:r w:rsidR="00180A75" w:rsidRPr="00EC2CEE">
              <w:rPr>
                <w:b/>
                <w:bCs/>
                <w:szCs w:val="24"/>
              </w:rPr>
              <w:t>’</w:t>
            </w:r>
            <w:r w:rsidRPr="00EC2CEE">
              <w:rPr>
                <w:b/>
                <w:bCs/>
                <w:szCs w:val="24"/>
              </w:rPr>
              <w:t>intervention en cas de crime</w:t>
            </w:r>
          </w:p>
        </w:tc>
        <w:tc>
          <w:tcPr>
            <w:tcW w:w="6803" w:type="dxa"/>
          </w:tcPr>
          <w:p w14:paraId="2B0AF655" w14:textId="3A933088" w:rsidR="002052DF" w:rsidRPr="00EC2CEE" w:rsidRDefault="009C21D0" w:rsidP="00F75663">
            <w:pPr>
              <w:pStyle w:val="NoSpacing"/>
              <w:rPr>
                <w:rFonts w:cs="Times New Roman"/>
                <w:szCs w:val="24"/>
              </w:rPr>
            </w:pPr>
            <w:r w:rsidRPr="00EC2CEE">
              <w:t>La personne affectée ou la victime peut communiquer directement avec les autorités militaires ou civiles compétentes en matière d</w:t>
            </w:r>
            <w:r w:rsidR="00180A75" w:rsidRPr="00EC2CEE">
              <w:t>’</w:t>
            </w:r>
            <w:r w:rsidRPr="00EC2CEE">
              <w:t>application de la loi. La chaîne de commandement, conformément aux politiques en vigueur, pour les incidents d</w:t>
            </w:r>
            <w:r w:rsidR="00180A75" w:rsidRPr="00EC2CEE">
              <w:t>’</w:t>
            </w:r>
            <w:r w:rsidRPr="00EC2CEE">
              <w:t>inconduite sexuelle considérés comme criminels ou potentiellement criminels, fera l</w:t>
            </w:r>
            <w:r w:rsidR="00180A75" w:rsidRPr="00EC2CEE">
              <w:t>’</w:t>
            </w:r>
            <w:r w:rsidRPr="00EC2CEE">
              <w:t>objet d</w:t>
            </w:r>
            <w:r w:rsidR="00180A75" w:rsidRPr="00EC2CEE">
              <w:t>’</w:t>
            </w:r>
            <w:r w:rsidRPr="00EC2CEE">
              <w:t xml:space="preserve">une enquête menée par la Police militaire, le Service </w:t>
            </w:r>
            <w:r w:rsidRPr="00EC2CEE">
              <w:lastRenderedPageBreak/>
              <w:t>national des enquêtes des Forces canadiennes ou les autorités civiles compétentes.</w:t>
            </w:r>
          </w:p>
          <w:p w14:paraId="27DD1680" w14:textId="49C1CE0F" w:rsidR="009C21D0" w:rsidRPr="00EC2CEE" w:rsidRDefault="009C21D0" w:rsidP="00F75663">
            <w:pPr>
              <w:pStyle w:val="NoSpacing"/>
              <w:rPr>
                <w:rFonts w:cs="Times New Roman"/>
                <w:szCs w:val="24"/>
              </w:rPr>
            </w:pPr>
          </w:p>
        </w:tc>
      </w:tr>
      <w:tr w:rsidR="002052DF" w:rsidRPr="00EC2CEE" w14:paraId="3426A85C" w14:textId="77777777" w:rsidTr="00D70B92">
        <w:tc>
          <w:tcPr>
            <w:tcW w:w="846" w:type="dxa"/>
          </w:tcPr>
          <w:p w14:paraId="23B32C75" w14:textId="20592B1C" w:rsidR="002052DF" w:rsidRPr="00EC2CEE" w:rsidRDefault="009C21D0" w:rsidP="00F75663">
            <w:pPr>
              <w:pStyle w:val="NoSpacing"/>
              <w:rPr>
                <w:rFonts w:cs="Times New Roman"/>
                <w:b/>
                <w:bCs/>
                <w:szCs w:val="24"/>
              </w:rPr>
            </w:pPr>
            <w:r w:rsidRPr="00EC2CEE">
              <w:rPr>
                <w:b/>
                <w:bCs/>
                <w:szCs w:val="24"/>
              </w:rPr>
              <w:lastRenderedPageBreak/>
              <w:t>7.3</w:t>
            </w:r>
          </w:p>
        </w:tc>
        <w:tc>
          <w:tcPr>
            <w:tcW w:w="1701" w:type="dxa"/>
          </w:tcPr>
          <w:p w14:paraId="2BBD3FEC" w14:textId="5B087749" w:rsidR="002052DF" w:rsidRPr="00EC2CEE" w:rsidRDefault="009C21D0" w:rsidP="00F75663">
            <w:pPr>
              <w:pStyle w:val="NoSpacing"/>
              <w:rPr>
                <w:rFonts w:cs="Times New Roman"/>
                <w:b/>
                <w:bCs/>
                <w:szCs w:val="24"/>
              </w:rPr>
            </w:pPr>
            <w:r w:rsidRPr="00EC2CEE">
              <w:rPr>
                <w:b/>
                <w:bCs/>
                <w:szCs w:val="24"/>
              </w:rPr>
              <w:t>Processus d</w:t>
            </w:r>
            <w:r w:rsidR="00180A75" w:rsidRPr="00EC2CEE">
              <w:rPr>
                <w:b/>
                <w:bCs/>
                <w:szCs w:val="24"/>
              </w:rPr>
              <w:t>’</w:t>
            </w:r>
            <w:r w:rsidRPr="00EC2CEE">
              <w:rPr>
                <w:b/>
                <w:bCs/>
                <w:szCs w:val="24"/>
              </w:rPr>
              <w:t>intervention non criminelle</w:t>
            </w:r>
          </w:p>
        </w:tc>
        <w:tc>
          <w:tcPr>
            <w:tcW w:w="6803" w:type="dxa"/>
          </w:tcPr>
          <w:p w14:paraId="531574B3" w14:textId="65CC01F0" w:rsidR="002052DF" w:rsidRPr="00EC2CEE" w:rsidRDefault="009C21D0" w:rsidP="00F75663">
            <w:pPr>
              <w:pStyle w:val="NoSpacing"/>
              <w:rPr>
                <w:rFonts w:cs="Times New Roman"/>
                <w:szCs w:val="24"/>
              </w:rPr>
            </w:pPr>
            <w:r w:rsidRPr="00EC2CEE">
              <w:t>Les incidents d</w:t>
            </w:r>
            <w:r w:rsidR="00180A75" w:rsidRPr="00EC2CEE">
              <w:t>’</w:t>
            </w:r>
            <w:r w:rsidRPr="00EC2CEE">
              <w:t>inconduite sexuelle peuvent être considérés comme non criminels par les autorités militaires compétentes chargées de l</w:t>
            </w:r>
            <w:r w:rsidR="00180A75" w:rsidRPr="00EC2CEE">
              <w:t>’</w:t>
            </w:r>
            <w:r w:rsidRPr="00EC2CEE">
              <w:t>application des lois. Dans le cas du personnel militaire, quand un incident d</w:t>
            </w:r>
            <w:r w:rsidR="00180A75" w:rsidRPr="00EC2CEE">
              <w:t>’</w:t>
            </w:r>
            <w:r w:rsidRPr="00EC2CEE">
              <w:t>inconduite sexuelle est jugé de nature non criminelle, la chaîne de commandement doit mener une enquête sur la totalité des incidents et des plaintes d</w:t>
            </w:r>
            <w:r w:rsidR="00180A75" w:rsidRPr="00EC2CEE">
              <w:t>’</w:t>
            </w:r>
            <w:r w:rsidRPr="00EC2CEE">
              <w:t>inconduite sexuelle et prendre les mesures nécessaires.</w:t>
            </w:r>
          </w:p>
          <w:p w14:paraId="164A1C26" w14:textId="219E5AFE" w:rsidR="009C21D0" w:rsidRPr="00EC2CEE" w:rsidRDefault="009C21D0" w:rsidP="00F75663">
            <w:pPr>
              <w:pStyle w:val="NoSpacing"/>
              <w:rPr>
                <w:rFonts w:cs="Times New Roman"/>
                <w:szCs w:val="24"/>
              </w:rPr>
            </w:pPr>
          </w:p>
        </w:tc>
      </w:tr>
      <w:tr w:rsidR="002052DF" w:rsidRPr="00EC2CEE" w14:paraId="3EC80021" w14:textId="77777777" w:rsidTr="00D70B92">
        <w:tc>
          <w:tcPr>
            <w:tcW w:w="846" w:type="dxa"/>
          </w:tcPr>
          <w:p w14:paraId="4A15A0FF" w14:textId="18AA2597" w:rsidR="002052DF" w:rsidRPr="00EC2CEE" w:rsidRDefault="009C21D0" w:rsidP="00F75663">
            <w:pPr>
              <w:pStyle w:val="NoSpacing"/>
              <w:rPr>
                <w:b/>
                <w:bCs/>
              </w:rPr>
            </w:pPr>
            <w:r w:rsidRPr="00EC2CEE">
              <w:rPr>
                <w:b/>
                <w:bCs/>
              </w:rPr>
              <w:t>7.4</w:t>
            </w:r>
          </w:p>
        </w:tc>
        <w:tc>
          <w:tcPr>
            <w:tcW w:w="1701" w:type="dxa"/>
          </w:tcPr>
          <w:p w14:paraId="3ACE2CBB" w14:textId="39EC9F3C" w:rsidR="002052DF" w:rsidRPr="00EC2CEE" w:rsidRDefault="009C21D0" w:rsidP="00F75663">
            <w:pPr>
              <w:pStyle w:val="NoSpacing"/>
              <w:rPr>
                <w:b/>
                <w:bCs/>
              </w:rPr>
            </w:pPr>
            <w:r w:rsidRPr="00EC2CEE">
              <w:rPr>
                <w:b/>
                <w:bCs/>
              </w:rPr>
              <w:t>Protection contre les représailles</w:t>
            </w:r>
          </w:p>
        </w:tc>
        <w:tc>
          <w:tcPr>
            <w:tcW w:w="6803" w:type="dxa"/>
          </w:tcPr>
          <w:p w14:paraId="1CAB1A2E" w14:textId="053DCB29" w:rsidR="002052DF" w:rsidRPr="00EC2CEE" w:rsidRDefault="009C21D0" w:rsidP="00F75663">
            <w:pPr>
              <w:pStyle w:val="NoSpacing"/>
              <w:rPr>
                <w:szCs w:val="24"/>
              </w:rPr>
            </w:pPr>
            <w:r w:rsidRPr="00EC2CEE">
              <w:t>Peu importe si un incident d</w:t>
            </w:r>
            <w:r w:rsidR="00180A75" w:rsidRPr="00EC2CEE">
              <w:t>’</w:t>
            </w:r>
            <w:r w:rsidRPr="00EC2CEE">
              <w:t>inconduite sexuelle est considéré comme criminel ou non criminel, en aucun cas toute personne qui divulgue ou signale un incident d</w:t>
            </w:r>
            <w:r w:rsidR="00180A75" w:rsidRPr="00EC2CEE">
              <w:t>’</w:t>
            </w:r>
            <w:r w:rsidRPr="00EC2CEE">
              <w:t>inconduite sexuelle ne sera soumise à des représailles réelles ou à une menace de représailles. Tout cas de représailles doit être immédiatement signalé à la chaîne de commandement.</w:t>
            </w:r>
          </w:p>
          <w:p w14:paraId="1296D076" w14:textId="2694270E" w:rsidR="00D70B92" w:rsidRPr="00EC2CEE" w:rsidRDefault="00D70B92" w:rsidP="00F75663">
            <w:pPr>
              <w:pStyle w:val="NoSpacing"/>
            </w:pPr>
          </w:p>
        </w:tc>
      </w:tr>
      <w:tr w:rsidR="002052DF" w:rsidRPr="00EC2CEE" w14:paraId="4EAD5C70" w14:textId="77777777" w:rsidTr="00D70B92">
        <w:tc>
          <w:tcPr>
            <w:tcW w:w="846" w:type="dxa"/>
          </w:tcPr>
          <w:p w14:paraId="19B9D3D9" w14:textId="36554F2B" w:rsidR="002052DF" w:rsidRPr="00EC2CEE" w:rsidRDefault="00D70B92" w:rsidP="00F75663">
            <w:pPr>
              <w:pStyle w:val="NoSpacing"/>
              <w:rPr>
                <w:b/>
                <w:bCs/>
              </w:rPr>
            </w:pPr>
            <w:r w:rsidRPr="00EC2CEE">
              <w:rPr>
                <w:b/>
                <w:bCs/>
              </w:rPr>
              <w:t>7.5</w:t>
            </w:r>
          </w:p>
        </w:tc>
        <w:tc>
          <w:tcPr>
            <w:tcW w:w="1701" w:type="dxa"/>
          </w:tcPr>
          <w:p w14:paraId="0900E7DA" w14:textId="5130277D" w:rsidR="002052DF" w:rsidRPr="00EC2CEE" w:rsidRDefault="00D70B92" w:rsidP="00F75663">
            <w:pPr>
              <w:pStyle w:val="NoSpacing"/>
              <w:rPr>
                <w:b/>
                <w:bCs/>
              </w:rPr>
            </w:pPr>
            <w:r w:rsidRPr="00EC2CEE">
              <w:rPr>
                <w:b/>
                <w:bCs/>
              </w:rPr>
              <w:t>Équité procédurale</w:t>
            </w:r>
          </w:p>
        </w:tc>
        <w:tc>
          <w:tcPr>
            <w:tcW w:w="6803" w:type="dxa"/>
          </w:tcPr>
          <w:p w14:paraId="10AFFE38" w14:textId="77777777" w:rsidR="002052DF" w:rsidRPr="00EC2CEE" w:rsidRDefault="00D70B92" w:rsidP="00F75663">
            <w:pPr>
              <w:pStyle w:val="NoSpacing"/>
            </w:pPr>
            <w:r w:rsidRPr="00EC2CEE">
              <w:t>Il est important pour les FAC que chaque militaire soit traité équitablement et que les droits de toutes les parties soient protégés.</w:t>
            </w:r>
          </w:p>
          <w:p w14:paraId="02CB5CA2" w14:textId="56CCFA6D" w:rsidR="00D70B92" w:rsidRPr="00EC2CEE" w:rsidRDefault="00D70B92" w:rsidP="00F75663">
            <w:pPr>
              <w:pStyle w:val="NoSpacing"/>
            </w:pPr>
          </w:p>
        </w:tc>
      </w:tr>
    </w:tbl>
    <w:p w14:paraId="1DD19484" w14:textId="3C7A14B0" w:rsidR="00D70B92" w:rsidRPr="00EC2CEE" w:rsidRDefault="00D70B92" w:rsidP="00D70B92">
      <w:pPr>
        <w:pStyle w:val="Heading1"/>
      </w:pPr>
      <w:bookmarkStart w:id="7" w:name="_Toc201921577"/>
      <w:r w:rsidRPr="00EC2CEE">
        <w:t>8.</w:t>
      </w:r>
      <w:r w:rsidRPr="00EC2CEE">
        <w:tab/>
        <w:t>Signalements de cas d</w:t>
      </w:r>
      <w:r w:rsidR="00180A75" w:rsidRPr="00EC2CEE">
        <w:t>’</w:t>
      </w:r>
      <w:r w:rsidRPr="00EC2CEE">
        <w:t>inconduite sexuelle par des tiers</w:t>
      </w:r>
      <w:bookmarkEnd w:id="7"/>
      <w:r w:rsidRPr="00EC2CEE">
        <w:t xml:space="preserve"> </w:t>
      </w:r>
    </w:p>
    <w:p w14:paraId="0C678165" w14:textId="77777777" w:rsidR="00D70B92" w:rsidRPr="00EC2CEE" w:rsidRDefault="00D70B92" w:rsidP="00D70B92"/>
    <w:tbl>
      <w:tblPr>
        <w:tblStyle w:val="TableGridLight"/>
        <w:tblW w:w="0" w:type="auto"/>
        <w:tblLook w:val="04A0" w:firstRow="1" w:lastRow="0" w:firstColumn="1" w:lastColumn="0" w:noHBand="0" w:noVBand="1"/>
      </w:tblPr>
      <w:tblGrid>
        <w:gridCol w:w="846"/>
        <w:gridCol w:w="1701"/>
        <w:gridCol w:w="6803"/>
      </w:tblGrid>
      <w:tr w:rsidR="002C1A43" w:rsidRPr="00EC2CEE" w14:paraId="4D4C0F96" w14:textId="77777777" w:rsidTr="00D70B92">
        <w:tc>
          <w:tcPr>
            <w:tcW w:w="846" w:type="dxa"/>
          </w:tcPr>
          <w:p w14:paraId="0A77C737" w14:textId="0D5089AA" w:rsidR="002C1A43" w:rsidRPr="00EC2CEE" w:rsidRDefault="00D70B92" w:rsidP="00F75663">
            <w:pPr>
              <w:pStyle w:val="NoSpacing"/>
              <w:rPr>
                <w:rFonts w:cs="Times New Roman"/>
                <w:b/>
                <w:bCs/>
                <w:szCs w:val="24"/>
              </w:rPr>
            </w:pPr>
            <w:r w:rsidRPr="00EC2CEE">
              <w:rPr>
                <w:b/>
                <w:bCs/>
                <w:szCs w:val="24"/>
              </w:rPr>
              <w:t>8.0</w:t>
            </w:r>
          </w:p>
        </w:tc>
        <w:tc>
          <w:tcPr>
            <w:tcW w:w="1701" w:type="dxa"/>
          </w:tcPr>
          <w:p w14:paraId="302248E5" w14:textId="56213FC0" w:rsidR="002C1A43" w:rsidRPr="00EC2CEE" w:rsidRDefault="00D70B92" w:rsidP="00F75663">
            <w:pPr>
              <w:pStyle w:val="NoSpacing"/>
              <w:rPr>
                <w:rFonts w:cs="Times New Roman"/>
                <w:b/>
                <w:bCs/>
                <w:szCs w:val="24"/>
              </w:rPr>
            </w:pPr>
            <w:r w:rsidRPr="00EC2CEE">
              <w:rPr>
                <w:b/>
                <w:bCs/>
                <w:szCs w:val="24"/>
              </w:rPr>
              <w:t>Signalement des cas d</w:t>
            </w:r>
            <w:r w:rsidR="00180A75" w:rsidRPr="00EC2CEE">
              <w:rPr>
                <w:b/>
                <w:bCs/>
                <w:szCs w:val="24"/>
              </w:rPr>
              <w:t>’</w:t>
            </w:r>
            <w:r w:rsidRPr="00EC2CEE">
              <w:rPr>
                <w:b/>
                <w:bCs/>
                <w:szCs w:val="24"/>
              </w:rPr>
              <w:t>inconduite sexuelle</w:t>
            </w:r>
          </w:p>
        </w:tc>
        <w:tc>
          <w:tcPr>
            <w:tcW w:w="6803" w:type="dxa"/>
          </w:tcPr>
          <w:p w14:paraId="2E5350B6" w14:textId="7B36D142" w:rsidR="00D70B92" w:rsidRPr="00EC2CEE" w:rsidRDefault="00D70B92" w:rsidP="00F75663">
            <w:pPr>
              <w:pStyle w:val="NoSpacing"/>
              <w:rPr>
                <w:rFonts w:cs="Times New Roman"/>
                <w:szCs w:val="24"/>
              </w:rPr>
            </w:pPr>
            <w:r w:rsidRPr="00EC2CEE">
              <w:t>Les mesures à prendre par quiconque est témoin ou informé d</w:t>
            </w:r>
            <w:r w:rsidR="00180A75" w:rsidRPr="00EC2CEE">
              <w:t>’</w:t>
            </w:r>
            <w:r w:rsidRPr="00EC2CEE">
              <w:t>un incident d</w:t>
            </w:r>
            <w:r w:rsidR="00180A75" w:rsidRPr="00EC2CEE">
              <w:t>’</w:t>
            </w:r>
            <w:r w:rsidRPr="00EC2CEE">
              <w:t>inconduite sexuelle sont décrites dans la DOAD 9005-1, Intervention en cas d</w:t>
            </w:r>
            <w:r w:rsidR="00180A75" w:rsidRPr="00EC2CEE">
              <w:t>’</w:t>
            </w:r>
            <w:r w:rsidRPr="00EC2CEE">
              <w:t>inconduite sexuelle et dans l</w:t>
            </w:r>
            <w:r w:rsidR="00180A75" w:rsidRPr="00EC2CEE">
              <w:t>’</w:t>
            </w:r>
            <w:r w:rsidRPr="00EC2CEE">
              <w:t>arbre décisionnel pour la gestion d</w:t>
            </w:r>
            <w:r w:rsidR="00180A75" w:rsidRPr="00EC2CEE">
              <w:t>’</w:t>
            </w:r>
            <w:r w:rsidRPr="00EC2CEE">
              <w:t>incident lié à une inconduite sexuelle à l</w:t>
            </w:r>
            <w:r w:rsidR="00180A75" w:rsidRPr="00EC2CEE">
              <w:t>’</w:t>
            </w:r>
            <w:r w:rsidRPr="00EC2CEE">
              <w:t xml:space="preserve">adresse </w:t>
            </w:r>
            <w:hyperlink r:id="rId13" w:history="1">
              <w:r w:rsidRPr="00EC2CEE">
                <w:rPr>
                  <w:rStyle w:val="Hyperlink"/>
                </w:rPr>
                <w:t>https://www.canada.ca/fr/ministere-defense-nationale/services/avantages-militaires/conflits-inconduite/inconduite-sexuelle/ordonnances-politiques-directives/arbre-decisionnel.html</w:t>
              </w:r>
            </w:hyperlink>
            <w:r w:rsidRPr="00EC2CEE">
              <w:t>.</w:t>
            </w:r>
          </w:p>
        </w:tc>
      </w:tr>
    </w:tbl>
    <w:p w14:paraId="1E41DBB7" w14:textId="32788AF8" w:rsidR="00DB0A79" w:rsidRPr="00EC2CEE" w:rsidRDefault="00D70B92" w:rsidP="00D70B92">
      <w:pPr>
        <w:pStyle w:val="Heading1"/>
      </w:pPr>
      <w:bookmarkStart w:id="8" w:name="_Toc201921578"/>
      <w:r w:rsidRPr="00EC2CEE">
        <w:t>9.</w:t>
      </w:r>
      <w:r w:rsidRPr="00EC2CEE">
        <w:tab/>
        <w:t>Mise en œuvre et révision de l</w:t>
      </w:r>
      <w:r w:rsidR="00180A75" w:rsidRPr="00EC2CEE">
        <w:t>’</w:t>
      </w:r>
      <w:r w:rsidRPr="00EC2CEE">
        <w:t>ordre</w:t>
      </w:r>
      <w:bookmarkEnd w:id="8"/>
      <w:r w:rsidRPr="00EC2CEE">
        <w:t xml:space="preserve"> </w:t>
      </w:r>
    </w:p>
    <w:p w14:paraId="2846BA39" w14:textId="77777777" w:rsidR="00D70B92" w:rsidRPr="00EC2CEE" w:rsidRDefault="00D70B92" w:rsidP="00D70B92"/>
    <w:tbl>
      <w:tblPr>
        <w:tblStyle w:val="TableGridLight"/>
        <w:tblW w:w="0" w:type="auto"/>
        <w:tblLook w:val="04A0" w:firstRow="1" w:lastRow="0" w:firstColumn="1" w:lastColumn="0" w:noHBand="0" w:noVBand="1"/>
      </w:tblPr>
      <w:tblGrid>
        <w:gridCol w:w="846"/>
        <w:gridCol w:w="1701"/>
        <w:gridCol w:w="6803"/>
      </w:tblGrid>
      <w:tr w:rsidR="00D70B92" w:rsidRPr="00EC2CEE" w14:paraId="7614F684" w14:textId="77777777" w:rsidTr="00CE3CFF">
        <w:tc>
          <w:tcPr>
            <w:tcW w:w="846" w:type="dxa"/>
          </w:tcPr>
          <w:p w14:paraId="06454119" w14:textId="1F2CF987" w:rsidR="00D70B92" w:rsidRPr="00EC2CEE" w:rsidRDefault="00D70B92" w:rsidP="00F75663">
            <w:pPr>
              <w:pStyle w:val="NoSpacing"/>
              <w:rPr>
                <w:rFonts w:cs="Times New Roman"/>
                <w:b/>
                <w:bCs/>
                <w:szCs w:val="24"/>
              </w:rPr>
            </w:pPr>
            <w:r w:rsidRPr="00EC2CEE">
              <w:rPr>
                <w:b/>
                <w:bCs/>
                <w:szCs w:val="24"/>
              </w:rPr>
              <w:t>9.1</w:t>
            </w:r>
          </w:p>
        </w:tc>
        <w:tc>
          <w:tcPr>
            <w:tcW w:w="1701" w:type="dxa"/>
          </w:tcPr>
          <w:p w14:paraId="29DF1F12" w14:textId="3390B37B" w:rsidR="00D70B92" w:rsidRPr="00EC2CEE" w:rsidRDefault="00D70B92" w:rsidP="00F75663">
            <w:pPr>
              <w:pStyle w:val="NoSpacing"/>
              <w:rPr>
                <w:rFonts w:cs="Times New Roman"/>
                <w:b/>
                <w:bCs/>
                <w:szCs w:val="24"/>
              </w:rPr>
            </w:pPr>
            <w:r w:rsidRPr="00EC2CEE">
              <w:rPr>
                <w:b/>
                <w:bCs/>
                <w:szCs w:val="24"/>
              </w:rPr>
              <w:t>Représentants</w:t>
            </w:r>
          </w:p>
        </w:tc>
        <w:tc>
          <w:tcPr>
            <w:tcW w:w="6803" w:type="dxa"/>
          </w:tcPr>
          <w:p w14:paraId="2E25A4B1" w14:textId="42F73A1B" w:rsidR="00D70B92" w:rsidRPr="00EC2CEE" w:rsidRDefault="00D70B92" w:rsidP="00F75663">
            <w:pPr>
              <w:pStyle w:val="NoSpacing"/>
              <w:rPr>
                <w:rFonts w:cs="Times New Roman"/>
                <w:szCs w:val="24"/>
              </w:rPr>
            </w:pPr>
            <w:r w:rsidRPr="00EC2CEE">
              <w:t>Le groupe de travail sur l</w:t>
            </w:r>
            <w:r w:rsidR="00180A75" w:rsidRPr="00EC2CEE">
              <w:t>’</w:t>
            </w:r>
            <w:r w:rsidRPr="00EC2CEE">
              <w:t>inconduite sexuelle a été mis en place pour coordonner les efforts de l</w:t>
            </w:r>
            <w:r w:rsidR="00180A75" w:rsidRPr="00EC2CEE">
              <w:t>’</w:t>
            </w:r>
            <w:r w:rsidRPr="00EC2CEE">
              <w:t>ensemble du Collège concernant l</w:t>
            </w:r>
            <w:r w:rsidR="00180A75" w:rsidRPr="00EC2CEE">
              <w:t>’</w:t>
            </w:r>
            <w:r w:rsidRPr="00EC2CEE">
              <w:t>élaboration des ordres, des politiques et des programmes d</w:t>
            </w:r>
            <w:r w:rsidR="00180A75" w:rsidRPr="00EC2CEE">
              <w:t>’</w:t>
            </w:r>
            <w:r w:rsidRPr="00EC2CEE">
              <w:t>éducation et de formation. L</w:t>
            </w:r>
            <w:r w:rsidR="00180A75" w:rsidRPr="00EC2CEE">
              <w:t>’</w:t>
            </w:r>
            <w:r w:rsidRPr="00EC2CEE">
              <w:t>inclusion de stagiaires dans ce groupe de travail, de même que de représentants de tous les autres départements du CMR, est essentielle pour garantir que le présent ordre permanent est représentatif de la communauté du Collège dans son ensemble.</w:t>
            </w:r>
          </w:p>
          <w:p w14:paraId="6FB7B7D9" w14:textId="29B20990" w:rsidR="00D70B92" w:rsidRPr="00EC2CEE" w:rsidRDefault="00D70B92" w:rsidP="00F75663">
            <w:pPr>
              <w:pStyle w:val="NoSpacing"/>
              <w:rPr>
                <w:rFonts w:cs="Times New Roman"/>
                <w:szCs w:val="24"/>
              </w:rPr>
            </w:pPr>
          </w:p>
        </w:tc>
      </w:tr>
      <w:tr w:rsidR="00D70B92" w:rsidRPr="00EC2CEE" w14:paraId="7C988712" w14:textId="77777777" w:rsidTr="00CE3CFF">
        <w:tc>
          <w:tcPr>
            <w:tcW w:w="846" w:type="dxa"/>
          </w:tcPr>
          <w:p w14:paraId="1D421B5E" w14:textId="50B53A7B" w:rsidR="00D70B92" w:rsidRPr="00EC2CEE" w:rsidRDefault="00D70B92" w:rsidP="00F75663">
            <w:pPr>
              <w:pStyle w:val="NoSpacing"/>
              <w:rPr>
                <w:rFonts w:cs="Times New Roman"/>
                <w:b/>
                <w:bCs/>
                <w:szCs w:val="24"/>
              </w:rPr>
            </w:pPr>
            <w:r w:rsidRPr="00EC2CEE">
              <w:rPr>
                <w:b/>
                <w:bCs/>
                <w:szCs w:val="24"/>
              </w:rPr>
              <w:lastRenderedPageBreak/>
              <w:t>9.2</w:t>
            </w:r>
          </w:p>
        </w:tc>
        <w:tc>
          <w:tcPr>
            <w:tcW w:w="1701" w:type="dxa"/>
          </w:tcPr>
          <w:p w14:paraId="0C20B0E8" w14:textId="44E26421" w:rsidR="00D70B92" w:rsidRPr="00EC2CEE" w:rsidRDefault="00D70B92" w:rsidP="00F75663">
            <w:pPr>
              <w:pStyle w:val="NoSpacing"/>
              <w:rPr>
                <w:rFonts w:cs="Times New Roman"/>
                <w:b/>
                <w:bCs/>
                <w:szCs w:val="24"/>
              </w:rPr>
            </w:pPr>
            <w:r w:rsidRPr="00EC2CEE">
              <w:rPr>
                <w:b/>
                <w:bCs/>
                <w:szCs w:val="24"/>
              </w:rPr>
              <w:t>Équité et diversité</w:t>
            </w:r>
          </w:p>
        </w:tc>
        <w:tc>
          <w:tcPr>
            <w:tcW w:w="6803" w:type="dxa"/>
          </w:tcPr>
          <w:p w14:paraId="30175166" w14:textId="7EE5B4F1" w:rsidR="00D70B92" w:rsidRPr="00EC2CEE" w:rsidRDefault="00D70B92" w:rsidP="00F75663">
            <w:pPr>
              <w:pStyle w:val="NoSpacing"/>
              <w:rPr>
                <w:szCs w:val="24"/>
              </w:rPr>
            </w:pPr>
            <w:r w:rsidRPr="00EC2CEE">
              <w:t>Dans la mise en œuvre et la révision de ce document, l</w:t>
            </w:r>
            <w:r w:rsidR="00180A75" w:rsidRPr="00EC2CEE">
              <w:t>’</w:t>
            </w:r>
            <w:r w:rsidRPr="00EC2CEE">
              <w:t>équité, la diversité et l</w:t>
            </w:r>
            <w:r w:rsidR="00180A75" w:rsidRPr="00EC2CEE">
              <w:t>’</w:t>
            </w:r>
            <w:r w:rsidRPr="00EC2CEE">
              <w:t>inclusion doivent</w:t>
            </w:r>
            <w:r w:rsidRPr="00EC2CEE">
              <w:rPr>
                <w:b/>
                <w:szCs w:val="24"/>
              </w:rPr>
              <w:t xml:space="preserve"> </w:t>
            </w:r>
            <w:r w:rsidRPr="00EC2CEE">
              <w:t>être reconnues</w:t>
            </w:r>
            <w:r w:rsidRPr="00EC2CEE">
              <w:rPr>
                <w:b/>
                <w:szCs w:val="24"/>
              </w:rPr>
              <w:t xml:space="preserve"> </w:t>
            </w:r>
            <w:r w:rsidRPr="00EC2CEE">
              <w:t>et prises en considération afin de s</w:t>
            </w:r>
            <w:r w:rsidR="00180A75" w:rsidRPr="00EC2CEE">
              <w:t>’</w:t>
            </w:r>
            <w:r w:rsidRPr="00EC2CEE">
              <w:t>assurer que tous les membres concernés encouragent et appuient le respect, la confiance mutuelle, l</w:t>
            </w:r>
            <w:r w:rsidR="00180A75" w:rsidRPr="00EC2CEE">
              <w:t>’</w:t>
            </w:r>
            <w:r w:rsidRPr="00EC2CEE">
              <w:t>inclusion, le traitement équitable et la non-discrimination. Toutes les personnes affectées ou les victimes doivent avoir un accès équitable (équité, diversité et inclusion) au soutien et aux services.</w:t>
            </w:r>
          </w:p>
          <w:p w14:paraId="5D2F59E5" w14:textId="4F169322" w:rsidR="004B33AD" w:rsidRPr="00EC2CEE" w:rsidRDefault="004B33AD" w:rsidP="00F75663">
            <w:pPr>
              <w:pStyle w:val="NoSpacing"/>
              <w:rPr>
                <w:rFonts w:cs="Times New Roman"/>
                <w:szCs w:val="24"/>
              </w:rPr>
            </w:pPr>
          </w:p>
        </w:tc>
      </w:tr>
      <w:tr w:rsidR="00D70B92" w:rsidRPr="00EC2CEE" w14:paraId="686738FE" w14:textId="77777777" w:rsidTr="00CE3CFF">
        <w:tc>
          <w:tcPr>
            <w:tcW w:w="846" w:type="dxa"/>
          </w:tcPr>
          <w:p w14:paraId="0282B86D" w14:textId="7CB2AC77" w:rsidR="00D70B92" w:rsidRPr="00EC2CEE" w:rsidRDefault="004B33AD" w:rsidP="00F75663">
            <w:pPr>
              <w:pStyle w:val="NoSpacing"/>
              <w:rPr>
                <w:b/>
                <w:bCs/>
              </w:rPr>
            </w:pPr>
            <w:r w:rsidRPr="00EC2CEE">
              <w:rPr>
                <w:b/>
                <w:bCs/>
              </w:rPr>
              <w:t>9.3</w:t>
            </w:r>
          </w:p>
        </w:tc>
        <w:tc>
          <w:tcPr>
            <w:tcW w:w="1701" w:type="dxa"/>
          </w:tcPr>
          <w:p w14:paraId="6BE9DCE0" w14:textId="48B35046" w:rsidR="00D70B92" w:rsidRPr="00EC2CEE" w:rsidRDefault="004B33AD" w:rsidP="00F75663">
            <w:pPr>
              <w:pStyle w:val="NoSpacing"/>
              <w:rPr>
                <w:b/>
                <w:bCs/>
              </w:rPr>
            </w:pPr>
            <w:r w:rsidRPr="00EC2CEE">
              <w:rPr>
                <w:b/>
                <w:bCs/>
              </w:rPr>
              <w:t>Révision de l</w:t>
            </w:r>
            <w:r w:rsidR="00180A75" w:rsidRPr="00EC2CEE">
              <w:rPr>
                <w:b/>
                <w:bCs/>
              </w:rPr>
              <w:t>’</w:t>
            </w:r>
            <w:r w:rsidRPr="00EC2CEE">
              <w:rPr>
                <w:b/>
                <w:bCs/>
              </w:rPr>
              <w:t>ordre</w:t>
            </w:r>
          </w:p>
        </w:tc>
        <w:tc>
          <w:tcPr>
            <w:tcW w:w="6803" w:type="dxa"/>
          </w:tcPr>
          <w:p w14:paraId="7580E40A" w14:textId="77777777" w:rsidR="00D70B92" w:rsidRPr="00EC2CEE" w:rsidRDefault="004B33AD" w:rsidP="004B33AD">
            <w:pPr>
              <w:pStyle w:val="NoSpacing"/>
              <w:rPr>
                <w:szCs w:val="24"/>
              </w:rPr>
            </w:pPr>
            <w:r w:rsidRPr="00EC2CEE">
              <w:t>Le présent ordre doit être révisé en cas de besoin, mais au plus tard trois</w:t>
            </w:r>
            <w:r w:rsidRPr="00EC2CEE">
              <w:rPr>
                <w:b/>
                <w:szCs w:val="24"/>
              </w:rPr>
              <w:t> </w:t>
            </w:r>
            <w:r w:rsidRPr="00EC2CEE">
              <w:t>ans après la dernière publication ou modification. Le processus de révision ou de modification du présent ordre doit comprendre des représentants de tous les départements et des stagiaires.</w:t>
            </w:r>
          </w:p>
          <w:p w14:paraId="05CB6ED3" w14:textId="6FD9117D" w:rsidR="004B33AD" w:rsidRPr="00EC2CEE" w:rsidRDefault="004B33AD" w:rsidP="004B33AD">
            <w:pPr>
              <w:pStyle w:val="NoSpacing"/>
              <w:rPr>
                <w:szCs w:val="24"/>
              </w:rPr>
            </w:pPr>
          </w:p>
        </w:tc>
      </w:tr>
      <w:tr w:rsidR="00D70B92" w:rsidRPr="00EC2CEE" w14:paraId="5C61881A" w14:textId="77777777" w:rsidTr="00CE3CFF">
        <w:tc>
          <w:tcPr>
            <w:tcW w:w="846" w:type="dxa"/>
          </w:tcPr>
          <w:p w14:paraId="5B0245C8" w14:textId="00340607" w:rsidR="00D70B92" w:rsidRPr="00EC2CEE" w:rsidRDefault="004B33AD" w:rsidP="00F75663">
            <w:pPr>
              <w:pStyle w:val="NoSpacing"/>
              <w:rPr>
                <w:b/>
                <w:bCs/>
              </w:rPr>
            </w:pPr>
            <w:r w:rsidRPr="00EC2CEE">
              <w:rPr>
                <w:b/>
                <w:bCs/>
              </w:rPr>
              <w:t>9.4</w:t>
            </w:r>
          </w:p>
        </w:tc>
        <w:tc>
          <w:tcPr>
            <w:tcW w:w="1701" w:type="dxa"/>
          </w:tcPr>
          <w:p w14:paraId="013BFDE0" w14:textId="25FB99E6" w:rsidR="00D70B92" w:rsidRPr="00EC2CEE" w:rsidRDefault="004B33AD" w:rsidP="00F75663">
            <w:pPr>
              <w:pStyle w:val="NoSpacing"/>
              <w:rPr>
                <w:b/>
                <w:bCs/>
              </w:rPr>
            </w:pPr>
            <w:r w:rsidRPr="00EC2CEE">
              <w:rPr>
                <w:b/>
                <w:bCs/>
              </w:rPr>
              <w:t>Modifications</w:t>
            </w:r>
          </w:p>
        </w:tc>
        <w:tc>
          <w:tcPr>
            <w:tcW w:w="6803" w:type="dxa"/>
          </w:tcPr>
          <w:p w14:paraId="3C35A862" w14:textId="3900666E" w:rsidR="00D70B92" w:rsidRPr="00EC2CEE" w:rsidRDefault="004B33AD" w:rsidP="004B33AD">
            <w:pPr>
              <w:pStyle w:val="NoSpacing"/>
            </w:pPr>
            <w:r w:rsidRPr="00EC2CEE">
              <w:t>La politique du CMR en matière d</w:t>
            </w:r>
            <w:r w:rsidR="00180A75" w:rsidRPr="00EC2CEE">
              <w:t>’</w:t>
            </w:r>
            <w:r w:rsidRPr="00EC2CEE">
              <w:t>inconduite sexuelle peut être mise à jour selon le besoin sans procéder à une révision complète afin de garantir la continuité et la pertinence de l</w:t>
            </w:r>
            <w:r w:rsidR="00180A75" w:rsidRPr="00EC2CEE">
              <w:t>’</w:t>
            </w:r>
            <w:r w:rsidRPr="00EC2CEE">
              <w:t>information essentielle et des services</w:t>
            </w:r>
            <w:r w:rsidR="00875779" w:rsidRPr="00EC2CEE">
              <w:t xml:space="preserve">. </w:t>
            </w:r>
            <w:r w:rsidRPr="00EC2CEE">
              <w:t>L</w:t>
            </w:r>
            <w:r w:rsidR="00180A75" w:rsidRPr="00EC2CEE">
              <w:t>’</w:t>
            </w:r>
            <w:r w:rsidRPr="00EC2CEE">
              <w:t>information suivante peut être mise à jour hors du cadre du processus de révision officiel de l</w:t>
            </w:r>
            <w:r w:rsidR="00180A75" w:rsidRPr="00EC2CEE">
              <w:t>’</w:t>
            </w:r>
            <w:r w:rsidRPr="00EC2CEE">
              <w:t>ordre :</w:t>
            </w:r>
          </w:p>
          <w:p w14:paraId="74BEB59E" w14:textId="77777777" w:rsidR="004B33AD" w:rsidRPr="00EC2CEE" w:rsidRDefault="004B33AD" w:rsidP="004B33AD">
            <w:pPr>
              <w:pStyle w:val="NoSpacing"/>
            </w:pPr>
          </w:p>
          <w:p w14:paraId="2DDAD9F3" w14:textId="194A0C6B" w:rsidR="004B33AD" w:rsidRPr="00EC2CEE" w:rsidRDefault="004B33AD" w:rsidP="004B33AD">
            <w:pPr>
              <w:pStyle w:val="NoSpacing"/>
              <w:numPr>
                <w:ilvl w:val="0"/>
                <w:numId w:val="30"/>
              </w:numPr>
            </w:pPr>
            <w:r w:rsidRPr="00EC2CEE">
              <w:t>l</w:t>
            </w:r>
            <w:r w:rsidR="00180A75" w:rsidRPr="00EC2CEE">
              <w:t>’</w:t>
            </w:r>
            <w:r w:rsidRPr="00EC2CEE">
              <w:t>information concernant le soutien et les services offerts à la communauté du CMR ainsi que l</w:t>
            </w:r>
            <w:r w:rsidR="00180A75" w:rsidRPr="00EC2CEE">
              <w:t>’</w:t>
            </w:r>
            <w:r w:rsidRPr="00EC2CEE">
              <w:t>information concernant les services offerts au niveau local;</w:t>
            </w:r>
          </w:p>
          <w:p w14:paraId="0954EE06" w14:textId="77777777" w:rsidR="004B33AD" w:rsidRPr="00EC2CEE" w:rsidRDefault="004B33AD" w:rsidP="004B33AD">
            <w:pPr>
              <w:pStyle w:val="NoSpacing"/>
              <w:ind w:left="720"/>
            </w:pPr>
          </w:p>
          <w:p w14:paraId="1B51BAB4" w14:textId="591FDC84" w:rsidR="004B33AD" w:rsidRPr="00EC2CEE" w:rsidRDefault="004B33AD" w:rsidP="004B33AD">
            <w:pPr>
              <w:pStyle w:val="NoSpacing"/>
              <w:numPr>
                <w:ilvl w:val="0"/>
                <w:numId w:val="30"/>
              </w:numPr>
            </w:pPr>
            <w:r w:rsidRPr="00EC2CEE">
              <w:t>l</w:t>
            </w:r>
            <w:r w:rsidR="00180A75" w:rsidRPr="00EC2CEE">
              <w:t>’</w:t>
            </w:r>
            <w:r w:rsidRPr="00EC2CEE">
              <w:t>identité et les coordonnées du responsable, des bureaux ou des départements précis avec lesquels il faut communiquer pour obtenir des mesures d</w:t>
            </w:r>
            <w:r w:rsidR="00180A75" w:rsidRPr="00EC2CEE">
              <w:t>’</w:t>
            </w:r>
            <w:r w:rsidRPr="00EC2CEE">
              <w:t>adaptation afin de satisfaire aux besoins des personnes affectées ou des victimes d</w:t>
            </w:r>
            <w:r w:rsidR="00180A75" w:rsidRPr="00EC2CEE">
              <w:t>’</w:t>
            </w:r>
            <w:r w:rsidRPr="00EC2CEE">
              <w:t>une inconduite sexuelle;</w:t>
            </w:r>
          </w:p>
          <w:p w14:paraId="0FE072CC" w14:textId="77777777" w:rsidR="004B33AD" w:rsidRPr="00EC2CEE" w:rsidRDefault="004B33AD" w:rsidP="004B33AD">
            <w:pPr>
              <w:pStyle w:val="NoSpacing"/>
              <w:ind w:left="720"/>
            </w:pPr>
          </w:p>
          <w:p w14:paraId="2A018EB9" w14:textId="3A04479C" w:rsidR="004B33AD" w:rsidRPr="00EC2CEE" w:rsidRDefault="004B33AD" w:rsidP="004B33AD">
            <w:pPr>
              <w:pStyle w:val="NoSpacing"/>
              <w:numPr>
                <w:ilvl w:val="0"/>
                <w:numId w:val="30"/>
              </w:numPr>
            </w:pPr>
            <w:r w:rsidRPr="00EC2CEE">
              <w:t>l</w:t>
            </w:r>
            <w:r w:rsidR="00180A75" w:rsidRPr="00EC2CEE">
              <w:t>’</w:t>
            </w:r>
            <w:r w:rsidRPr="00EC2CEE">
              <w:t>identité et les coordonnées du responsable, des bureaux ou des départements précis à qui un incident d</w:t>
            </w:r>
            <w:r w:rsidR="00180A75" w:rsidRPr="00EC2CEE">
              <w:t>’</w:t>
            </w:r>
            <w:r w:rsidRPr="00EC2CEE">
              <w:t>inconduite sexuelle devrait être signalé;</w:t>
            </w:r>
          </w:p>
          <w:p w14:paraId="72A94B5F" w14:textId="097B3A1F" w:rsidR="004B33AD" w:rsidRPr="00EC2CEE" w:rsidRDefault="004B33AD" w:rsidP="004B33AD">
            <w:pPr>
              <w:numPr>
                <w:ilvl w:val="0"/>
                <w:numId w:val="30"/>
              </w:numPr>
              <w:spacing w:before="160"/>
              <w:rPr>
                <w:szCs w:val="24"/>
              </w:rPr>
            </w:pPr>
            <w:r w:rsidRPr="00EC2CEE">
              <w:t>l</w:t>
            </w:r>
            <w:r w:rsidR="00180A75" w:rsidRPr="00EC2CEE">
              <w:t>’</w:t>
            </w:r>
            <w:r w:rsidRPr="00EC2CEE">
              <w:t>identité et les coordonnées du responsable, des bureaux ou des départements précis qui joueront un rôle à chaque étape du processus d</w:t>
            </w:r>
            <w:r w:rsidR="00180A75" w:rsidRPr="00EC2CEE">
              <w:t>’</w:t>
            </w:r>
            <w:r w:rsidRPr="00EC2CEE">
              <w:t>intervention du CMR en cas d</w:t>
            </w:r>
            <w:r w:rsidR="00180A75" w:rsidRPr="00EC2CEE">
              <w:t>’</w:t>
            </w:r>
            <w:r w:rsidRPr="00EC2CEE">
              <w:t>incident d</w:t>
            </w:r>
            <w:r w:rsidR="00180A75" w:rsidRPr="00EC2CEE">
              <w:t>’</w:t>
            </w:r>
            <w:r w:rsidRPr="00EC2CEE">
              <w:t>inconduite sexuelle.</w:t>
            </w:r>
          </w:p>
          <w:p w14:paraId="75872348" w14:textId="4C68FC71" w:rsidR="004B33AD" w:rsidRPr="00EC2CEE" w:rsidRDefault="004B33AD" w:rsidP="004B33AD">
            <w:pPr>
              <w:spacing w:before="160"/>
              <w:rPr>
                <w:szCs w:val="24"/>
              </w:rPr>
            </w:pPr>
          </w:p>
        </w:tc>
      </w:tr>
      <w:tr w:rsidR="00D70B92" w:rsidRPr="00EC2CEE" w14:paraId="3324B324" w14:textId="77777777" w:rsidTr="00CE3CFF">
        <w:tc>
          <w:tcPr>
            <w:tcW w:w="846" w:type="dxa"/>
          </w:tcPr>
          <w:p w14:paraId="336AB6CE" w14:textId="62E11A2C" w:rsidR="00D70B92" w:rsidRPr="00EC2CEE" w:rsidRDefault="004B33AD" w:rsidP="00F75663">
            <w:pPr>
              <w:pStyle w:val="NoSpacing"/>
              <w:rPr>
                <w:b/>
                <w:bCs/>
              </w:rPr>
            </w:pPr>
            <w:r w:rsidRPr="00EC2CEE">
              <w:rPr>
                <w:b/>
                <w:bCs/>
              </w:rPr>
              <w:t>9.5</w:t>
            </w:r>
          </w:p>
        </w:tc>
        <w:tc>
          <w:tcPr>
            <w:tcW w:w="1701" w:type="dxa"/>
          </w:tcPr>
          <w:p w14:paraId="1FF3D195" w14:textId="329D62EA" w:rsidR="00D70B92" w:rsidRPr="00EC2CEE" w:rsidRDefault="004B33AD" w:rsidP="00F75663">
            <w:pPr>
              <w:pStyle w:val="NoSpacing"/>
              <w:rPr>
                <w:b/>
                <w:bCs/>
              </w:rPr>
            </w:pPr>
            <w:r w:rsidRPr="00EC2CEE">
              <w:rPr>
                <w:b/>
                <w:bCs/>
              </w:rPr>
              <w:t>Lieu de l</w:t>
            </w:r>
            <w:r w:rsidR="00180A75" w:rsidRPr="00EC2CEE">
              <w:rPr>
                <w:b/>
                <w:bCs/>
              </w:rPr>
              <w:t>’</w:t>
            </w:r>
            <w:r w:rsidRPr="00EC2CEE">
              <w:rPr>
                <w:b/>
                <w:bCs/>
              </w:rPr>
              <w:t xml:space="preserve">ordre </w:t>
            </w:r>
          </w:p>
        </w:tc>
        <w:tc>
          <w:tcPr>
            <w:tcW w:w="6803" w:type="dxa"/>
          </w:tcPr>
          <w:p w14:paraId="72B433AF" w14:textId="5143048D" w:rsidR="00D70B92" w:rsidRPr="00EC2CEE" w:rsidRDefault="004B33AD" w:rsidP="00F75663">
            <w:pPr>
              <w:pStyle w:val="NoSpacing"/>
              <w:rPr>
                <w:szCs w:val="24"/>
              </w:rPr>
            </w:pPr>
            <w:r w:rsidRPr="00EC2CEE">
              <w:t>Cet ordre doit résider et être accessible sur le site intranet du CMR ainsi que sur le site Internet public externe. Il convient d</w:t>
            </w:r>
            <w:r w:rsidR="00180A75" w:rsidRPr="00EC2CEE">
              <w:t>’</w:t>
            </w:r>
            <w:r w:rsidRPr="00EC2CEE">
              <w:t>appuyer et de faciliter toute demande d</w:t>
            </w:r>
            <w:r w:rsidR="00180A75" w:rsidRPr="00EC2CEE">
              <w:t>’</w:t>
            </w:r>
            <w:r w:rsidRPr="00EC2CEE">
              <w:t>une personne, d</w:t>
            </w:r>
            <w:r w:rsidR="00180A75" w:rsidRPr="00EC2CEE">
              <w:t>’</w:t>
            </w:r>
            <w:r w:rsidRPr="00EC2CEE">
              <w:t>un groupe ou d</w:t>
            </w:r>
            <w:r w:rsidR="00180A75" w:rsidRPr="00EC2CEE">
              <w:t>’</w:t>
            </w:r>
            <w:r w:rsidRPr="00EC2CEE">
              <w:t>une organisation, y compris les médias, qui désire consulter l</w:t>
            </w:r>
            <w:r w:rsidR="00180A75" w:rsidRPr="00EC2CEE">
              <w:t>’</w:t>
            </w:r>
            <w:r w:rsidRPr="00EC2CEE">
              <w:t>ordre.</w:t>
            </w:r>
          </w:p>
          <w:p w14:paraId="67BC0550" w14:textId="4227249B" w:rsidR="004B33AD" w:rsidRPr="00EC2CEE" w:rsidRDefault="004B33AD" w:rsidP="00F75663">
            <w:pPr>
              <w:pStyle w:val="NoSpacing"/>
            </w:pPr>
          </w:p>
        </w:tc>
      </w:tr>
    </w:tbl>
    <w:p w14:paraId="36622C27" w14:textId="527E809F" w:rsidR="00CE3CFF" w:rsidRPr="00EC2CEE" w:rsidRDefault="00CE3CFF" w:rsidP="00CE3CFF">
      <w:pPr>
        <w:pStyle w:val="Heading1"/>
      </w:pPr>
      <w:bookmarkStart w:id="9" w:name="_Toc201921579"/>
      <w:r w:rsidRPr="00EC2CEE">
        <w:lastRenderedPageBreak/>
        <w:t>10.</w:t>
      </w:r>
      <w:r w:rsidRPr="00EC2CEE">
        <w:tab/>
        <w:t>Éducation et formation</w:t>
      </w:r>
      <w:bookmarkEnd w:id="9"/>
    </w:p>
    <w:p w14:paraId="680AB5A1" w14:textId="77777777" w:rsidR="00CE3CFF" w:rsidRPr="00EC2CEE" w:rsidRDefault="00CE3CFF" w:rsidP="00CE3CFF"/>
    <w:tbl>
      <w:tblPr>
        <w:tblStyle w:val="TableGridLight"/>
        <w:tblW w:w="0" w:type="auto"/>
        <w:tblLook w:val="04A0" w:firstRow="1" w:lastRow="0" w:firstColumn="1" w:lastColumn="0" w:noHBand="0" w:noVBand="1"/>
      </w:tblPr>
      <w:tblGrid>
        <w:gridCol w:w="846"/>
        <w:gridCol w:w="1701"/>
        <w:gridCol w:w="6803"/>
      </w:tblGrid>
      <w:tr w:rsidR="00D70B92" w:rsidRPr="00EC2CEE" w14:paraId="1A2782F4" w14:textId="77777777" w:rsidTr="00CE3CFF">
        <w:tc>
          <w:tcPr>
            <w:tcW w:w="846" w:type="dxa"/>
          </w:tcPr>
          <w:p w14:paraId="51423B71" w14:textId="43F0900F" w:rsidR="00D70B92" w:rsidRPr="00EC2CEE" w:rsidRDefault="00CE3CFF" w:rsidP="00F75663">
            <w:pPr>
              <w:pStyle w:val="NoSpacing"/>
              <w:rPr>
                <w:rFonts w:cs="Times New Roman"/>
                <w:b/>
                <w:bCs/>
                <w:szCs w:val="24"/>
              </w:rPr>
            </w:pPr>
            <w:r w:rsidRPr="00EC2CEE">
              <w:rPr>
                <w:b/>
                <w:bCs/>
                <w:szCs w:val="24"/>
              </w:rPr>
              <w:t>10.1</w:t>
            </w:r>
          </w:p>
        </w:tc>
        <w:tc>
          <w:tcPr>
            <w:tcW w:w="1701" w:type="dxa"/>
          </w:tcPr>
          <w:p w14:paraId="74EF3C02" w14:textId="37C8B3BA" w:rsidR="00D70B92" w:rsidRPr="00EC2CEE" w:rsidRDefault="00CE3CFF" w:rsidP="00F75663">
            <w:pPr>
              <w:pStyle w:val="NoSpacing"/>
              <w:rPr>
                <w:rFonts w:cs="Times New Roman"/>
                <w:b/>
                <w:bCs/>
                <w:szCs w:val="24"/>
              </w:rPr>
            </w:pPr>
            <w:r w:rsidRPr="00EC2CEE">
              <w:rPr>
                <w:b/>
                <w:bCs/>
                <w:szCs w:val="24"/>
              </w:rPr>
              <w:t>Attentes</w:t>
            </w:r>
          </w:p>
        </w:tc>
        <w:tc>
          <w:tcPr>
            <w:tcW w:w="6803" w:type="dxa"/>
          </w:tcPr>
          <w:p w14:paraId="238FC33D" w14:textId="703B3E1F" w:rsidR="00D70B92" w:rsidRPr="00EC2CEE" w:rsidRDefault="00CE3CFF" w:rsidP="00CE3CFF">
            <w:pPr>
              <w:pStyle w:val="NoSpacing"/>
              <w:rPr>
                <w:rFonts w:cs="Times New Roman"/>
                <w:szCs w:val="24"/>
              </w:rPr>
            </w:pPr>
            <w:r w:rsidRPr="00EC2CEE">
              <w:t>Tous les membres de la communauté du CMR doivent assister aux séances d</w:t>
            </w:r>
            <w:r w:rsidR="00180A75" w:rsidRPr="00EC2CEE">
              <w:t>’</w:t>
            </w:r>
            <w:r w:rsidRPr="00EC2CEE">
              <w:t>information annuelles qui précèdent le début de la session d</w:t>
            </w:r>
            <w:r w:rsidR="00180A75" w:rsidRPr="00EC2CEE">
              <w:t>’</w:t>
            </w:r>
            <w:r w:rsidRPr="00EC2CEE">
              <w:t>automne</w:t>
            </w:r>
            <w:r w:rsidR="00875779" w:rsidRPr="00EC2CEE">
              <w:t xml:space="preserve">. </w:t>
            </w:r>
            <w:r w:rsidRPr="00EC2CEE">
              <w:t>Ces séances comprennent des rappels et des mises à jour des politiques du ministère de la Défense nationale en matière d</w:t>
            </w:r>
            <w:r w:rsidR="00180A75" w:rsidRPr="00EC2CEE">
              <w:t>’</w:t>
            </w:r>
            <w:r w:rsidRPr="00EC2CEE">
              <w:t>inconduite sexuelle. Les stagiaires, les membres du corps professoral, les membres du personnel militaire et civil et les entrepreneurs qui travaillent au CMR sont tenus d</w:t>
            </w:r>
            <w:r w:rsidR="00180A75" w:rsidRPr="00EC2CEE">
              <w:t>’</w:t>
            </w:r>
            <w:r w:rsidRPr="00EC2CEE">
              <w:t>assister aux séances d</w:t>
            </w:r>
            <w:r w:rsidR="00180A75" w:rsidRPr="00EC2CEE">
              <w:t>’</w:t>
            </w:r>
            <w:r w:rsidRPr="00EC2CEE">
              <w:t>information à leur intention</w:t>
            </w:r>
            <w:r w:rsidR="00875779" w:rsidRPr="00EC2CEE">
              <w:t xml:space="preserve">. </w:t>
            </w:r>
            <w:r w:rsidRPr="00EC2CEE">
              <w:t>Tout le contenu des séances, y compris l</w:t>
            </w:r>
            <w:r w:rsidR="00180A75" w:rsidRPr="00EC2CEE">
              <w:t>’</w:t>
            </w:r>
            <w:r w:rsidRPr="00EC2CEE">
              <w:t>information concernant les inconduites sexuelles, sera par la suite affiché sur le site SharePoint du CMR à l</w:t>
            </w:r>
            <w:r w:rsidR="00180A75" w:rsidRPr="00EC2CEE">
              <w:t>’</w:t>
            </w:r>
            <w:r w:rsidRPr="00EC2CEE">
              <w:t>intention des personnes qui ne peuvent pas y assister à cause de conflits d</w:t>
            </w:r>
            <w:r w:rsidR="00180A75" w:rsidRPr="00EC2CEE">
              <w:t>’</w:t>
            </w:r>
            <w:r w:rsidRPr="00EC2CEE">
              <w:t>horaire ou pour d</w:t>
            </w:r>
            <w:r w:rsidR="00180A75" w:rsidRPr="00EC2CEE">
              <w:t>’</w:t>
            </w:r>
            <w:r w:rsidRPr="00EC2CEE">
              <w:t>autres raisons</w:t>
            </w:r>
            <w:r w:rsidR="00875779" w:rsidRPr="00EC2CEE">
              <w:t xml:space="preserve">. </w:t>
            </w:r>
            <w:r w:rsidRPr="00EC2CEE">
              <w:t>Les superviseurs de ces personnes doivent confirmer et attester que celles-ci ont consulté chaque année tout le contenu des présentations. Le personnel, le corps professoral, les chercheurs et les stagiaires peuvent bénéficier d</w:t>
            </w:r>
            <w:r w:rsidR="00180A75" w:rsidRPr="00EC2CEE">
              <w:t>’</w:t>
            </w:r>
            <w:r w:rsidRPr="00EC2CEE">
              <w:t>une formation supplémentaire en matière de sensibilité et de sensibilisation par le biais de séances d</w:t>
            </w:r>
            <w:r w:rsidR="00180A75" w:rsidRPr="00EC2CEE">
              <w:t>’</w:t>
            </w:r>
            <w:r w:rsidRPr="00EC2CEE">
              <w:t>information et d</w:t>
            </w:r>
            <w:r w:rsidR="00180A75" w:rsidRPr="00EC2CEE">
              <w:t>’</w:t>
            </w:r>
            <w:r w:rsidRPr="00EC2CEE">
              <w:t>autres activités axées sur les questions de l</w:t>
            </w:r>
            <w:r w:rsidR="00180A75" w:rsidRPr="00EC2CEE">
              <w:t>’</w:t>
            </w:r>
            <w:r w:rsidRPr="00EC2CEE">
              <w:t>intervention d</w:t>
            </w:r>
            <w:r w:rsidR="00180A75" w:rsidRPr="00EC2CEE">
              <w:t>’</w:t>
            </w:r>
            <w:r w:rsidRPr="00EC2CEE">
              <w:t>un témoin, du consentement et de la violence sexuelle. Les superviseurs sont encouragés à donner du temps, dans la mesure du possible, aux militaires pour suivre une formation supplémentaire qui contribue à un environnement de travail respectueux et sain. Personne ne doit ignorer la politique du Collège en matière d</w:t>
            </w:r>
            <w:r w:rsidR="00180A75" w:rsidRPr="00EC2CEE">
              <w:t>’</w:t>
            </w:r>
            <w:r w:rsidRPr="00EC2CEE">
              <w:t>inconduite sexuelle.</w:t>
            </w:r>
          </w:p>
          <w:p w14:paraId="18DE1064" w14:textId="0A9F7D1F" w:rsidR="00CE3CFF" w:rsidRPr="00EC2CEE" w:rsidRDefault="00CE3CFF" w:rsidP="00CE3CFF">
            <w:pPr>
              <w:pStyle w:val="NoSpacing"/>
              <w:rPr>
                <w:rFonts w:cs="Times New Roman"/>
                <w:szCs w:val="24"/>
              </w:rPr>
            </w:pPr>
          </w:p>
        </w:tc>
      </w:tr>
    </w:tbl>
    <w:p w14:paraId="09045533" w14:textId="1CC1CBA9" w:rsidR="00D70B92" w:rsidRPr="00EC2CEE" w:rsidRDefault="00CE3CFF" w:rsidP="00CE3CFF">
      <w:pPr>
        <w:pStyle w:val="Heading1"/>
      </w:pPr>
      <w:bookmarkStart w:id="10" w:name="_Toc201921580"/>
      <w:r w:rsidRPr="00EC2CEE">
        <w:t>11.</w:t>
      </w:r>
      <w:r w:rsidRPr="00EC2CEE">
        <w:tab/>
        <w:t>Rapports de nature statistique</w:t>
      </w:r>
      <w:bookmarkEnd w:id="10"/>
    </w:p>
    <w:p w14:paraId="50F2FF68" w14:textId="77777777" w:rsidR="00CE3CFF" w:rsidRPr="00EC2CEE" w:rsidRDefault="00CE3CFF" w:rsidP="00D70B92">
      <w:pPr>
        <w:pStyle w:val="NoSpacing"/>
      </w:pPr>
    </w:p>
    <w:tbl>
      <w:tblPr>
        <w:tblStyle w:val="TableGridLight"/>
        <w:tblW w:w="0" w:type="auto"/>
        <w:tblLook w:val="04A0" w:firstRow="1" w:lastRow="0" w:firstColumn="1" w:lastColumn="0" w:noHBand="0" w:noVBand="1"/>
      </w:tblPr>
      <w:tblGrid>
        <w:gridCol w:w="846"/>
        <w:gridCol w:w="1701"/>
        <w:gridCol w:w="6803"/>
      </w:tblGrid>
      <w:tr w:rsidR="00CE3CFF" w:rsidRPr="00EC2CEE" w14:paraId="795D4C8B" w14:textId="77777777" w:rsidTr="00CE3CFF">
        <w:tc>
          <w:tcPr>
            <w:tcW w:w="846" w:type="dxa"/>
          </w:tcPr>
          <w:p w14:paraId="67FE236D" w14:textId="021B2127" w:rsidR="00CE3CFF" w:rsidRPr="00EC2CEE" w:rsidRDefault="00CE3CFF" w:rsidP="00F75663">
            <w:pPr>
              <w:pStyle w:val="NoSpacing"/>
              <w:rPr>
                <w:rFonts w:cs="Times New Roman"/>
                <w:b/>
                <w:bCs/>
                <w:szCs w:val="24"/>
              </w:rPr>
            </w:pPr>
            <w:r w:rsidRPr="00EC2CEE">
              <w:rPr>
                <w:b/>
                <w:bCs/>
                <w:szCs w:val="24"/>
              </w:rPr>
              <w:t>11.1</w:t>
            </w:r>
          </w:p>
        </w:tc>
        <w:tc>
          <w:tcPr>
            <w:tcW w:w="1701" w:type="dxa"/>
          </w:tcPr>
          <w:p w14:paraId="16A18B8D" w14:textId="77777777" w:rsidR="00CE3CFF" w:rsidRPr="00EC2CEE" w:rsidRDefault="00CE3CFF" w:rsidP="00F75663">
            <w:pPr>
              <w:pStyle w:val="NoSpacing"/>
              <w:rPr>
                <w:rFonts w:cs="Times New Roman"/>
                <w:b/>
                <w:bCs/>
                <w:szCs w:val="24"/>
              </w:rPr>
            </w:pPr>
            <w:r w:rsidRPr="00EC2CEE">
              <w:rPr>
                <w:b/>
                <w:bCs/>
                <w:szCs w:val="24"/>
              </w:rPr>
              <w:t>Rapports</w:t>
            </w:r>
          </w:p>
          <w:p w14:paraId="1BA1E95D" w14:textId="762222E4" w:rsidR="00CE3CFF" w:rsidRPr="00EC2CEE" w:rsidRDefault="00CE3CFF" w:rsidP="00F75663">
            <w:pPr>
              <w:pStyle w:val="NoSpacing"/>
              <w:rPr>
                <w:rFonts w:cs="Times New Roman"/>
                <w:b/>
                <w:bCs/>
                <w:szCs w:val="24"/>
              </w:rPr>
            </w:pPr>
          </w:p>
        </w:tc>
        <w:tc>
          <w:tcPr>
            <w:tcW w:w="6803" w:type="dxa"/>
          </w:tcPr>
          <w:p w14:paraId="3CC8A462" w14:textId="5BFE1BEA" w:rsidR="00CE3CFF" w:rsidRPr="00EC2CEE" w:rsidRDefault="00CE3CFF" w:rsidP="00F75663">
            <w:pPr>
              <w:pStyle w:val="NoSpacing"/>
              <w:rPr>
                <w:rFonts w:cs="Times New Roman"/>
                <w:szCs w:val="24"/>
              </w:rPr>
            </w:pPr>
            <w:r w:rsidRPr="00EC2CEE">
              <w:t>Les incidents d</w:t>
            </w:r>
            <w:r w:rsidR="00180A75" w:rsidRPr="00EC2CEE">
              <w:t>’</w:t>
            </w:r>
            <w:r w:rsidRPr="00EC2CEE">
              <w:t>inconduite sexuelle concernant les membres militaires au CMR doivent être signalés par l</w:t>
            </w:r>
            <w:r w:rsidR="00180A75" w:rsidRPr="00EC2CEE">
              <w:t>’</w:t>
            </w:r>
            <w:r w:rsidRPr="00EC2CEE">
              <w:t>intermédiaire de la chaîne de commandement au chef d</w:t>
            </w:r>
            <w:r w:rsidR="00180A75" w:rsidRPr="00EC2CEE">
              <w:t>’</w:t>
            </w:r>
            <w:r w:rsidRPr="00EC2CEE">
              <w:t>état-major de la défense au moyen du rapport d</w:t>
            </w:r>
            <w:r w:rsidR="00180A75" w:rsidRPr="00EC2CEE">
              <w:t>’</w:t>
            </w:r>
            <w:r w:rsidRPr="00EC2CEE">
              <w:t>information critique du commandant ou d</w:t>
            </w:r>
            <w:r w:rsidR="00180A75" w:rsidRPr="00EC2CEE">
              <w:t>’</w:t>
            </w:r>
            <w:r w:rsidRPr="00EC2CEE">
              <w:t>un rapport d</w:t>
            </w:r>
            <w:r w:rsidR="00180A75" w:rsidRPr="00EC2CEE">
              <w:t>’</w:t>
            </w:r>
            <w:r w:rsidRPr="00EC2CEE">
              <w:t>incident d</w:t>
            </w:r>
            <w:r w:rsidR="00180A75" w:rsidRPr="00EC2CEE">
              <w:t>’</w:t>
            </w:r>
            <w:r w:rsidRPr="00EC2CEE">
              <w:t>importance, conformément aux directives nationales. Ils seront également intégrés au système de suivi et d</w:t>
            </w:r>
            <w:r w:rsidR="00180A75" w:rsidRPr="00EC2CEE">
              <w:t>’</w:t>
            </w:r>
            <w:r w:rsidRPr="00EC2CEE">
              <w:t>analyse des FAС requis, qui est une base de données Protégé B avec un accès limité à certains administrateurs et utilisateurs.</w:t>
            </w:r>
          </w:p>
          <w:p w14:paraId="2D824351" w14:textId="4E736A7A" w:rsidR="00CE3CFF" w:rsidRPr="00EC2CEE" w:rsidRDefault="00CE3CFF" w:rsidP="00F75663">
            <w:pPr>
              <w:pStyle w:val="NoSpacing"/>
              <w:rPr>
                <w:rFonts w:cs="Times New Roman"/>
                <w:szCs w:val="24"/>
              </w:rPr>
            </w:pPr>
          </w:p>
        </w:tc>
      </w:tr>
    </w:tbl>
    <w:p w14:paraId="4629985E" w14:textId="6680B94C" w:rsidR="00CE3CFF" w:rsidRPr="00EC2CEE" w:rsidRDefault="00CE3CFF" w:rsidP="00CE3CFF">
      <w:pPr>
        <w:pStyle w:val="Heading1"/>
      </w:pPr>
      <w:bookmarkStart w:id="11" w:name="_Toc201921581"/>
      <w:r w:rsidRPr="00EC2CEE">
        <w:t>12.</w:t>
      </w:r>
      <w:r w:rsidRPr="00EC2CEE">
        <w:tab/>
        <w:t>Références</w:t>
      </w:r>
      <w:bookmarkEnd w:id="11"/>
    </w:p>
    <w:p w14:paraId="008E9982" w14:textId="77777777" w:rsidR="009C0BB6" w:rsidRPr="00EC2CEE" w:rsidRDefault="009C0BB6" w:rsidP="009C0BB6"/>
    <w:tbl>
      <w:tblPr>
        <w:tblStyle w:val="TableGridLight"/>
        <w:tblW w:w="0" w:type="auto"/>
        <w:tblLook w:val="04A0" w:firstRow="1" w:lastRow="0" w:firstColumn="1" w:lastColumn="0" w:noHBand="0" w:noVBand="1"/>
      </w:tblPr>
      <w:tblGrid>
        <w:gridCol w:w="846"/>
        <w:gridCol w:w="1701"/>
        <w:gridCol w:w="6803"/>
      </w:tblGrid>
      <w:tr w:rsidR="00CE3CFF" w:rsidRPr="00EC2CEE" w14:paraId="72518305" w14:textId="77777777" w:rsidTr="00655139">
        <w:tc>
          <w:tcPr>
            <w:tcW w:w="846" w:type="dxa"/>
          </w:tcPr>
          <w:p w14:paraId="5CBC2CD1" w14:textId="296455DB" w:rsidR="00CE3CFF" w:rsidRPr="00EC2CEE" w:rsidRDefault="00CE3CFF" w:rsidP="00F75663">
            <w:pPr>
              <w:pStyle w:val="NoSpacing"/>
              <w:rPr>
                <w:rFonts w:cs="Times New Roman"/>
                <w:b/>
                <w:bCs/>
                <w:szCs w:val="24"/>
              </w:rPr>
            </w:pPr>
            <w:r w:rsidRPr="00EC2CEE">
              <w:rPr>
                <w:b/>
                <w:bCs/>
                <w:szCs w:val="24"/>
              </w:rPr>
              <w:t>12.1</w:t>
            </w:r>
          </w:p>
        </w:tc>
        <w:tc>
          <w:tcPr>
            <w:tcW w:w="1701" w:type="dxa"/>
          </w:tcPr>
          <w:p w14:paraId="3A10375A" w14:textId="6D5B86C6" w:rsidR="00CE3CFF" w:rsidRPr="00EC2CEE" w:rsidRDefault="00CE3CFF" w:rsidP="00F75663">
            <w:pPr>
              <w:pStyle w:val="NoSpacing"/>
              <w:rPr>
                <w:rFonts w:cs="Times New Roman"/>
                <w:b/>
                <w:bCs/>
                <w:szCs w:val="24"/>
              </w:rPr>
            </w:pPr>
            <w:r w:rsidRPr="00EC2CEE">
              <w:rPr>
                <w:b/>
                <w:bCs/>
                <w:szCs w:val="24"/>
              </w:rPr>
              <w:t>Références</w:t>
            </w:r>
          </w:p>
        </w:tc>
        <w:tc>
          <w:tcPr>
            <w:tcW w:w="6803" w:type="dxa"/>
          </w:tcPr>
          <w:p w14:paraId="6D9843B4" w14:textId="1813BF09" w:rsidR="00B859CD" w:rsidRPr="00EC2CEE" w:rsidRDefault="00B859CD" w:rsidP="00B859CD">
            <w:pPr>
              <w:pStyle w:val="NoSpacing"/>
              <w:numPr>
                <w:ilvl w:val="0"/>
                <w:numId w:val="32"/>
              </w:numPr>
              <w:rPr>
                <w:rFonts w:cs="Times New Roman"/>
                <w:szCs w:val="24"/>
              </w:rPr>
            </w:pPr>
            <w:r w:rsidRPr="00EC2CEE">
              <w:rPr>
                <w:i/>
                <w:iCs/>
              </w:rPr>
              <w:t>Charte canadienne des droits et libertés</w:t>
            </w:r>
            <w:r w:rsidRPr="00EC2CEE">
              <w:t>;</w:t>
            </w:r>
          </w:p>
          <w:p w14:paraId="48947D3B" w14:textId="77777777" w:rsidR="009C0BB6" w:rsidRPr="00EC2CEE" w:rsidRDefault="009C0BB6" w:rsidP="009C0BB6">
            <w:pPr>
              <w:pStyle w:val="NoSpacing"/>
              <w:ind w:left="720"/>
              <w:rPr>
                <w:rFonts w:cs="Times New Roman"/>
                <w:szCs w:val="24"/>
              </w:rPr>
            </w:pPr>
          </w:p>
          <w:p w14:paraId="056A39D2" w14:textId="7A49B06B" w:rsidR="00B859CD" w:rsidRPr="00EC2CEE" w:rsidRDefault="00B859CD" w:rsidP="00B859CD">
            <w:pPr>
              <w:pStyle w:val="NoSpacing"/>
              <w:numPr>
                <w:ilvl w:val="0"/>
                <w:numId w:val="32"/>
              </w:numPr>
              <w:rPr>
                <w:rFonts w:cs="Times New Roman"/>
                <w:szCs w:val="24"/>
              </w:rPr>
            </w:pPr>
            <w:r w:rsidRPr="00EC2CEE">
              <w:rPr>
                <w:i/>
                <w:iCs/>
              </w:rPr>
              <w:lastRenderedPageBreak/>
              <w:t>Loi canadienne sur les droits de la personne</w:t>
            </w:r>
            <w:r w:rsidR="00875779" w:rsidRPr="00EC2CEE">
              <w:t xml:space="preserve">; </w:t>
            </w:r>
          </w:p>
          <w:p w14:paraId="0CE3C129" w14:textId="77777777" w:rsidR="009C0BB6" w:rsidRPr="00EC2CEE" w:rsidRDefault="009C0BB6" w:rsidP="009C0BB6">
            <w:pPr>
              <w:pStyle w:val="NoSpacing"/>
              <w:ind w:left="720"/>
              <w:rPr>
                <w:rFonts w:cs="Times New Roman"/>
                <w:szCs w:val="24"/>
              </w:rPr>
            </w:pPr>
          </w:p>
          <w:p w14:paraId="5738D048" w14:textId="187606D5" w:rsidR="00B859CD" w:rsidRPr="00EC2CEE" w:rsidRDefault="00B859CD" w:rsidP="00B859CD">
            <w:pPr>
              <w:pStyle w:val="NoSpacing"/>
              <w:numPr>
                <w:ilvl w:val="0"/>
                <w:numId w:val="32"/>
              </w:numPr>
              <w:rPr>
                <w:rFonts w:cs="Times New Roman"/>
                <w:szCs w:val="24"/>
              </w:rPr>
            </w:pPr>
            <w:r w:rsidRPr="00EC2CEE">
              <w:rPr>
                <w:i/>
                <w:iCs/>
              </w:rPr>
              <w:t>Code criminel du Canada</w:t>
            </w:r>
            <w:r w:rsidRPr="00EC2CEE">
              <w:t>;</w:t>
            </w:r>
          </w:p>
          <w:p w14:paraId="02F0D10E" w14:textId="77777777" w:rsidR="009C0BB6" w:rsidRPr="00EC2CEE" w:rsidRDefault="009C0BB6" w:rsidP="009C0BB6">
            <w:pPr>
              <w:pStyle w:val="NoSpacing"/>
              <w:ind w:left="720"/>
              <w:rPr>
                <w:rFonts w:cs="Times New Roman"/>
                <w:szCs w:val="24"/>
              </w:rPr>
            </w:pPr>
          </w:p>
          <w:p w14:paraId="399B2D54" w14:textId="6B90B7FC" w:rsidR="00B859CD" w:rsidRPr="00EC2CEE" w:rsidRDefault="00B859CD" w:rsidP="00B859CD">
            <w:pPr>
              <w:pStyle w:val="NoSpacing"/>
              <w:numPr>
                <w:ilvl w:val="0"/>
                <w:numId w:val="32"/>
              </w:numPr>
              <w:rPr>
                <w:rFonts w:cs="Times New Roman"/>
                <w:szCs w:val="24"/>
              </w:rPr>
            </w:pPr>
            <w:r w:rsidRPr="00EC2CEE">
              <w:rPr>
                <w:i/>
                <w:iCs/>
              </w:rPr>
              <w:t>Loi sur la Défense nationale</w:t>
            </w:r>
            <w:r w:rsidRPr="00EC2CEE">
              <w:t>;</w:t>
            </w:r>
          </w:p>
          <w:p w14:paraId="29EF3DB4" w14:textId="77777777" w:rsidR="009C0BB6" w:rsidRPr="00EC2CEE" w:rsidRDefault="009C0BB6" w:rsidP="009C0BB6">
            <w:pPr>
              <w:pStyle w:val="NoSpacing"/>
              <w:ind w:left="720"/>
              <w:rPr>
                <w:rFonts w:cs="Times New Roman"/>
                <w:szCs w:val="24"/>
              </w:rPr>
            </w:pPr>
          </w:p>
          <w:p w14:paraId="1126BAD2" w14:textId="5A1EF63C" w:rsidR="00B859CD" w:rsidRPr="00EC2CEE" w:rsidRDefault="00B859CD" w:rsidP="00B859CD">
            <w:pPr>
              <w:pStyle w:val="NoSpacing"/>
              <w:numPr>
                <w:ilvl w:val="0"/>
                <w:numId w:val="32"/>
              </w:numPr>
              <w:rPr>
                <w:rFonts w:cs="Times New Roman"/>
                <w:szCs w:val="24"/>
              </w:rPr>
            </w:pPr>
            <w:r w:rsidRPr="00EC2CEE">
              <w:rPr>
                <w:i/>
                <w:iCs/>
              </w:rPr>
              <w:t>Loi sur la protection des renseignements personnels</w:t>
            </w:r>
            <w:r w:rsidRPr="00EC2CEE">
              <w:t>;</w:t>
            </w:r>
          </w:p>
          <w:p w14:paraId="70D93F73" w14:textId="77777777" w:rsidR="009C0BB6" w:rsidRPr="00EC2CEE" w:rsidRDefault="009C0BB6" w:rsidP="009C0BB6">
            <w:pPr>
              <w:pStyle w:val="NoSpacing"/>
              <w:ind w:left="720"/>
              <w:rPr>
                <w:rFonts w:cs="Times New Roman"/>
                <w:szCs w:val="24"/>
              </w:rPr>
            </w:pPr>
          </w:p>
          <w:p w14:paraId="15D9D2D3" w14:textId="12C91FBD" w:rsidR="00B859CD" w:rsidRPr="00EC2CEE" w:rsidRDefault="00B859CD" w:rsidP="00B859CD">
            <w:pPr>
              <w:pStyle w:val="NoSpacing"/>
              <w:numPr>
                <w:ilvl w:val="0"/>
                <w:numId w:val="32"/>
              </w:numPr>
              <w:rPr>
                <w:rFonts w:cs="Times New Roman"/>
                <w:szCs w:val="24"/>
              </w:rPr>
            </w:pPr>
            <w:r w:rsidRPr="00EC2CEE">
              <w:t>L</w:t>
            </w:r>
            <w:r w:rsidR="00180A75" w:rsidRPr="00EC2CEE">
              <w:t>’</w:t>
            </w:r>
            <w:r w:rsidRPr="00EC2CEE">
              <w:t>éthos des FAC : Digne de servir;</w:t>
            </w:r>
          </w:p>
          <w:p w14:paraId="6E9E309B" w14:textId="77777777" w:rsidR="009C0BB6" w:rsidRPr="00EC2CEE" w:rsidRDefault="009C0BB6" w:rsidP="009C0BB6">
            <w:pPr>
              <w:pStyle w:val="NoSpacing"/>
              <w:ind w:left="720"/>
              <w:rPr>
                <w:rFonts w:cs="Times New Roman"/>
                <w:szCs w:val="24"/>
              </w:rPr>
            </w:pPr>
          </w:p>
          <w:p w14:paraId="60799588" w14:textId="6DE2E74A" w:rsidR="00B859CD" w:rsidRPr="00EC2CEE" w:rsidRDefault="00B859CD" w:rsidP="00B859CD">
            <w:pPr>
              <w:pStyle w:val="NoSpacing"/>
              <w:numPr>
                <w:ilvl w:val="0"/>
                <w:numId w:val="32"/>
              </w:numPr>
              <w:rPr>
                <w:rFonts w:cs="Times New Roman"/>
                <w:b/>
                <w:szCs w:val="24"/>
              </w:rPr>
            </w:pPr>
            <w:r w:rsidRPr="00EC2CEE">
              <w:t>Code de valeurs et d</w:t>
            </w:r>
            <w:r w:rsidR="00180A75" w:rsidRPr="00EC2CEE">
              <w:t>’</w:t>
            </w:r>
            <w:r w:rsidRPr="00EC2CEE">
              <w:t>éthique du ministère de la Défense nationale et des Forces armées canadiennes;</w:t>
            </w:r>
          </w:p>
          <w:p w14:paraId="46B24D00" w14:textId="77777777" w:rsidR="009C0BB6" w:rsidRPr="00EC2CEE" w:rsidRDefault="009C0BB6" w:rsidP="009C0BB6">
            <w:pPr>
              <w:pStyle w:val="NoSpacing"/>
              <w:ind w:left="720"/>
              <w:rPr>
                <w:rFonts w:cs="Times New Roman"/>
                <w:b/>
                <w:szCs w:val="24"/>
              </w:rPr>
            </w:pPr>
          </w:p>
          <w:p w14:paraId="419611A9" w14:textId="4140DDDB" w:rsidR="00B859CD" w:rsidRPr="00EC2CEE" w:rsidRDefault="00B859CD" w:rsidP="00B859CD">
            <w:pPr>
              <w:pStyle w:val="NoSpacing"/>
              <w:numPr>
                <w:ilvl w:val="0"/>
                <w:numId w:val="32"/>
              </w:numPr>
              <w:rPr>
                <w:rFonts w:cs="Times New Roman"/>
                <w:szCs w:val="24"/>
              </w:rPr>
            </w:pPr>
            <w:r w:rsidRPr="00EC2CEE">
              <w:t xml:space="preserve">Ordonnances et règlements royaux applicables aux Forces canadiennes 19.15 – Interdiction des représailles; </w:t>
            </w:r>
          </w:p>
          <w:p w14:paraId="708BE0C4" w14:textId="77777777" w:rsidR="009C0BB6" w:rsidRPr="00EC2CEE" w:rsidRDefault="009C0BB6" w:rsidP="009C0BB6">
            <w:pPr>
              <w:pStyle w:val="NoSpacing"/>
              <w:ind w:left="720"/>
              <w:rPr>
                <w:rFonts w:cs="Times New Roman"/>
                <w:szCs w:val="24"/>
              </w:rPr>
            </w:pPr>
          </w:p>
          <w:p w14:paraId="35304E9F" w14:textId="48CB33C6" w:rsidR="00B859CD" w:rsidRPr="00EC2CEE" w:rsidRDefault="00B859CD" w:rsidP="00B859CD">
            <w:pPr>
              <w:pStyle w:val="NoSpacing"/>
              <w:numPr>
                <w:ilvl w:val="0"/>
                <w:numId w:val="32"/>
              </w:numPr>
              <w:rPr>
                <w:rFonts w:cs="Times New Roman"/>
                <w:szCs w:val="24"/>
              </w:rPr>
            </w:pPr>
            <w:r w:rsidRPr="00EC2CEE">
              <w:t>Ordonnances et règlements royaux applicables aux Forces canadiennes 4.02 – Responsabilités générales des officiers;</w:t>
            </w:r>
          </w:p>
          <w:p w14:paraId="01305F9C" w14:textId="77777777" w:rsidR="009C0BB6" w:rsidRPr="00EC2CEE" w:rsidRDefault="009C0BB6" w:rsidP="009C0BB6">
            <w:pPr>
              <w:pStyle w:val="NoSpacing"/>
              <w:ind w:left="720"/>
              <w:rPr>
                <w:rFonts w:cs="Times New Roman"/>
                <w:szCs w:val="24"/>
              </w:rPr>
            </w:pPr>
          </w:p>
          <w:p w14:paraId="1944F584" w14:textId="368DFF0A" w:rsidR="00B859CD" w:rsidRPr="00EC2CEE" w:rsidRDefault="00B859CD" w:rsidP="00B859CD">
            <w:pPr>
              <w:pStyle w:val="NoSpacing"/>
              <w:numPr>
                <w:ilvl w:val="0"/>
                <w:numId w:val="32"/>
              </w:numPr>
              <w:rPr>
                <w:rFonts w:cs="Times New Roman"/>
                <w:szCs w:val="24"/>
              </w:rPr>
            </w:pPr>
            <w:r w:rsidRPr="00EC2CEE">
              <w:t>Ordonnances et règlements royaux applicables aux Forces canadiennes 5.01 – Responsabilités générales des militaires du rang;</w:t>
            </w:r>
          </w:p>
          <w:p w14:paraId="590F754B" w14:textId="77777777" w:rsidR="009C0BB6" w:rsidRPr="00EC2CEE" w:rsidRDefault="009C0BB6" w:rsidP="009C0BB6">
            <w:pPr>
              <w:pStyle w:val="NoSpacing"/>
              <w:ind w:left="720"/>
              <w:rPr>
                <w:rFonts w:cs="Times New Roman"/>
                <w:szCs w:val="24"/>
              </w:rPr>
            </w:pPr>
          </w:p>
          <w:p w14:paraId="058B94EF" w14:textId="007DF2F6" w:rsidR="00B859CD" w:rsidRPr="00EC2CEE" w:rsidRDefault="00B859CD" w:rsidP="00B859CD">
            <w:pPr>
              <w:pStyle w:val="NoSpacing"/>
              <w:numPr>
                <w:ilvl w:val="0"/>
                <w:numId w:val="32"/>
              </w:numPr>
              <w:rPr>
                <w:rFonts w:cs="Times New Roman"/>
                <w:szCs w:val="24"/>
              </w:rPr>
            </w:pPr>
            <w:r w:rsidRPr="00EC2CEE">
              <w:t>Ordonnances et règlements royaux applicables aux Forces canadiennes 106.02 – Enquête avant la mise en accusation;</w:t>
            </w:r>
          </w:p>
          <w:p w14:paraId="2B89E9F4" w14:textId="77777777" w:rsidR="009C0BB6" w:rsidRPr="00EC2CEE" w:rsidRDefault="009C0BB6" w:rsidP="009C0BB6">
            <w:pPr>
              <w:pStyle w:val="NoSpacing"/>
              <w:ind w:left="720"/>
              <w:rPr>
                <w:rFonts w:cs="Times New Roman"/>
                <w:szCs w:val="24"/>
              </w:rPr>
            </w:pPr>
          </w:p>
          <w:p w14:paraId="56DD4F58" w14:textId="7ADE700D" w:rsidR="00B859CD" w:rsidRPr="00EC2CEE" w:rsidRDefault="00B859CD" w:rsidP="00B859CD">
            <w:pPr>
              <w:pStyle w:val="NoSpacing"/>
              <w:numPr>
                <w:ilvl w:val="0"/>
                <w:numId w:val="32"/>
              </w:numPr>
              <w:rPr>
                <w:rFonts w:cs="Times New Roman"/>
                <w:szCs w:val="24"/>
              </w:rPr>
            </w:pPr>
            <w:r w:rsidRPr="00EC2CEE">
              <w:t>Ordonnances et règlements royaux applicables aux Forces canadiennes 1.23 – Pouvoir du chef d</w:t>
            </w:r>
            <w:r w:rsidR="00180A75" w:rsidRPr="00EC2CEE">
              <w:t>’</w:t>
            </w:r>
            <w:r w:rsidRPr="00EC2CEE">
              <w:t>état-major de la défense de publier des ordres et directives</w:t>
            </w:r>
            <w:r w:rsidR="00875779" w:rsidRPr="00EC2CEE">
              <w:t>;</w:t>
            </w:r>
          </w:p>
          <w:p w14:paraId="27444891" w14:textId="77777777" w:rsidR="009C0BB6" w:rsidRPr="00EC2CEE" w:rsidRDefault="009C0BB6" w:rsidP="009C0BB6">
            <w:pPr>
              <w:pStyle w:val="NoSpacing"/>
              <w:ind w:left="720"/>
              <w:rPr>
                <w:rFonts w:cs="Times New Roman"/>
                <w:szCs w:val="24"/>
              </w:rPr>
            </w:pPr>
          </w:p>
          <w:p w14:paraId="0339B77E" w14:textId="364549A2" w:rsidR="00B859CD" w:rsidRPr="00EC2CEE" w:rsidRDefault="00B859CD" w:rsidP="00B859CD">
            <w:pPr>
              <w:pStyle w:val="NoSpacing"/>
              <w:numPr>
                <w:ilvl w:val="0"/>
                <w:numId w:val="32"/>
              </w:numPr>
              <w:rPr>
                <w:rFonts w:cs="Times New Roman"/>
                <w:szCs w:val="24"/>
              </w:rPr>
            </w:pPr>
            <w:r w:rsidRPr="00EC2CEE">
              <w:t>Ordonnances et règlements royaux applicables aux Forces canadiennes 19.56 – Rapport d</w:t>
            </w:r>
            <w:r w:rsidR="00180A75" w:rsidRPr="00EC2CEE">
              <w:t>’</w:t>
            </w:r>
            <w:r w:rsidRPr="00EC2CEE">
              <w:t>arrestation par l</w:t>
            </w:r>
            <w:r w:rsidR="00180A75" w:rsidRPr="00EC2CEE">
              <w:t>’</w:t>
            </w:r>
            <w:r w:rsidRPr="00EC2CEE">
              <w:t>autorité civile;</w:t>
            </w:r>
          </w:p>
          <w:p w14:paraId="0C283FC1" w14:textId="77777777" w:rsidR="009C0BB6" w:rsidRPr="00EC2CEE" w:rsidRDefault="009C0BB6" w:rsidP="009C0BB6">
            <w:pPr>
              <w:pStyle w:val="NoSpacing"/>
              <w:ind w:left="720"/>
              <w:rPr>
                <w:rFonts w:cs="Times New Roman"/>
                <w:szCs w:val="24"/>
              </w:rPr>
            </w:pPr>
          </w:p>
          <w:p w14:paraId="58410C0D" w14:textId="7F227699" w:rsidR="00B859CD" w:rsidRPr="00EC2CEE" w:rsidRDefault="00B859CD" w:rsidP="00B859CD">
            <w:pPr>
              <w:pStyle w:val="NoSpacing"/>
              <w:numPr>
                <w:ilvl w:val="0"/>
                <w:numId w:val="32"/>
              </w:numPr>
              <w:rPr>
                <w:rFonts w:cs="Times New Roman"/>
                <w:szCs w:val="24"/>
              </w:rPr>
            </w:pPr>
            <w:r w:rsidRPr="00EC2CEE">
              <w:t>Ordonnances et règlements royaux applicables aux Forces canadiennes 19.61 – Certificat de condamnation;</w:t>
            </w:r>
          </w:p>
          <w:p w14:paraId="682CCCB8" w14:textId="77777777" w:rsidR="009C0BB6" w:rsidRPr="00EC2CEE" w:rsidRDefault="009C0BB6" w:rsidP="009C0BB6">
            <w:pPr>
              <w:pStyle w:val="NoSpacing"/>
              <w:ind w:left="720"/>
              <w:rPr>
                <w:rFonts w:cs="Times New Roman"/>
                <w:szCs w:val="24"/>
              </w:rPr>
            </w:pPr>
          </w:p>
          <w:p w14:paraId="5278402A" w14:textId="353662E5" w:rsidR="00B859CD" w:rsidRPr="00EC2CEE" w:rsidRDefault="00B859CD" w:rsidP="00B859CD">
            <w:pPr>
              <w:pStyle w:val="NoSpacing"/>
              <w:numPr>
                <w:ilvl w:val="0"/>
                <w:numId w:val="32"/>
              </w:numPr>
              <w:rPr>
                <w:rFonts w:cs="Times New Roman"/>
                <w:szCs w:val="24"/>
              </w:rPr>
            </w:pPr>
            <w:r w:rsidRPr="00EC2CEE">
              <w:t>Ordonnances et règlements royaux applicables aux Forces canadiennes 19.62 – Mesures à prendre après la déclaration de condamnation de l</w:t>
            </w:r>
            <w:r w:rsidR="00180A75" w:rsidRPr="00EC2CEE">
              <w:t>’</w:t>
            </w:r>
            <w:r w:rsidRPr="00EC2CEE">
              <w:t>autorité civile;</w:t>
            </w:r>
          </w:p>
          <w:p w14:paraId="0DDC8E43" w14:textId="77777777" w:rsidR="009C0BB6" w:rsidRPr="00EC2CEE" w:rsidRDefault="009C0BB6" w:rsidP="009C0BB6">
            <w:pPr>
              <w:pStyle w:val="NoSpacing"/>
              <w:ind w:left="720"/>
              <w:rPr>
                <w:rFonts w:cs="Times New Roman"/>
                <w:szCs w:val="24"/>
              </w:rPr>
            </w:pPr>
          </w:p>
          <w:p w14:paraId="6A427C3F" w14:textId="07467997" w:rsidR="00B859CD" w:rsidRPr="00EC2CEE" w:rsidRDefault="00B859CD" w:rsidP="00B859CD">
            <w:pPr>
              <w:pStyle w:val="NoSpacing"/>
              <w:numPr>
                <w:ilvl w:val="0"/>
                <w:numId w:val="32"/>
              </w:numPr>
              <w:rPr>
                <w:rFonts w:cs="Times New Roman"/>
                <w:szCs w:val="24"/>
              </w:rPr>
            </w:pPr>
            <w:r w:rsidRPr="00EC2CEE">
              <w:lastRenderedPageBreak/>
              <w:t>Ordonnances et règlements royaux applicables aux Forces canadiennes 21 – Enquêtes sommaires et commissions d</w:t>
            </w:r>
            <w:r w:rsidR="00180A75" w:rsidRPr="00EC2CEE">
              <w:t>’</w:t>
            </w:r>
            <w:r w:rsidRPr="00EC2CEE">
              <w:t>enquête;</w:t>
            </w:r>
          </w:p>
          <w:p w14:paraId="7D053902" w14:textId="77777777" w:rsidR="009C0BB6" w:rsidRPr="00EC2CEE" w:rsidRDefault="009C0BB6" w:rsidP="009C0BB6">
            <w:pPr>
              <w:pStyle w:val="NoSpacing"/>
              <w:ind w:left="720"/>
              <w:rPr>
                <w:rFonts w:cs="Times New Roman"/>
                <w:szCs w:val="24"/>
              </w:rPr>
            </w:pPr>
          </w:p>
          <w:p w14:paraId="13A579CC" w14:textId="4C68EA1A" w:rsidR="00B859CD" w:rsidRPr="00EC2CEE" w:rsidRDefault="00B859CD" w:rsidP="00B859CD">
            <w:pPr>
              <w:pStyle w:val="NoSpacing"/>
              <w:numPr>
                <w:ilvl w:val="0"/>
                <w:numId w:val="32"/>
              </w:numPr>
              <w:rPr>
                <w:rFonts w:cs="Times New Roman"/>
                <w:szCs w:val="24"/>
              </w:rPr>
            </w:pPr>
            <w:r w:rsidRPr="00EC2CEE">
              <w:t>Ordonnances et règlements royaux applicables aux Forces canadiennes 24 – Services médicaux;</w:t>
            </w:r>
          </w:p>
          <w:p w14:paraId="6FE9C255" w14:textId="77777777" w:rsidR="009C0BB6" w:rsidRPr="00EC2CEE" w:rsidRDefault="009C0BB6" w:rsidP="009C0BB6">
            <w:pPr>
              <w:pStyle w:val="NoSpacing"/>
              <w:ind w:left="720"/>
              <w:rPr>
                <w:rFonts w:cs="Times New Roman"/>
                <w:szCs w:val="24"/>
              </w:rPr>
            </w:pPr>
          </w:p>
          <w:p w14:paraId="4E3E32B8" w14:textId="427D94C4" w:rsidR="00B859CD" w:rsidRPr="00EC2CEE" w:rsidRDefault="00B859CD" w:rsidP="00B859CD">
            <w:pPr>
              <w:pStyle w:val="NoSpacing"/>
              <w:numPr>
                <w:ilvl w:val="0"/>
                <w:numId w:val="32"/>
              </w:numPr>
              <w:rPr>
                <w:rFonts w:cs="Times New Roman"/>
                <w:szCs w:val="24"/>
              </w:rPr>
            </w:pPr>
            <w:r w:rsidRPr="00EC2CEE">
              <w:t>Directives et ordonnances administratives de la défense 9005-1 – Inconduite sexuelle, 18 novembre 2020;</w:t>
            </w:r>
          </w:p>
          <w:p w14:paraId="7260FEA8" w14:textId="77777777" w:rsidR="009C0BB6" w:rsidRPr="00EC2CEE" w:rsidRDefault="009C0BB6" w:rsidP="009C0BB6">
            <w:pPr>
              <w:pStyle w:val="NoSpacing"/>
              <w:ind w:left="720"/>
              <w:rPr>
                <w:rFonts w:cs="Times New Roman"/>
                <w:szCs w:val="24"/>
              </w:rPr>
            </w:pPr>
          </w:p>
          <w:p w14:paraId="432C8BBE" w14:textId="66C0F3C0" w:rsidR="00B859CD" w:rsidRPr="00EC2CEE" w:rsidRDefault="00B859CD" w:rsidP="00B859CD">
            <w:pPr>
              <w:pStyle w:val="NoSpacing"/>
              <w:numPr>
                <w:ilvl w:val="0"/>
                <w:numId w:val="32"/>
              </w:numPr>
              <w:rPr>
                <w:rFonts w:cs="Times New Roman"/>
                <w:szCs w:val="24"/>
              </w:rPr>
            </w:pPr>
            <w:r w:rsidRPr="00EC2CEE">
              <w:t>Directives et ordonnances administratives de la défense 5012-0 – Prévention et résolution du harcèlement, 20 décembre 2000;</w:t>
            </w:r>
          </w:p>
          <w:p w14:paraId="0D5E2169" w14:textId="77777777" w:rsidR="009C0BB6" w:rsidRPr="00EC2CEE" w:rsidRDefault="009C0BB6" w:rsidP="009C0BB6">
            <w:pPr>
              <w:pStyle w:val="NoSpacing"/>
              <w:ind w:left="720"/>
              <w:rPr>
                <w:rFonts w:cs="Times New Roman"/>
                <w:szCs w:val="24"/>
              </w:rPr>
            </w:pPr>
          </w:p>
          <w:p w14:paraId="1EF9DC21" w14:textId="1353F0B5" w:rsidR="00B859CD" w:rsidRPr="00EC2CEE" w:rsidRDefault="00B859CD" w:rsidP="00B859CD">
            <w:pPr>
              <w:pStyle w:val="NoSpacing"/>
              <w:numPr>
                <w:ilvl w:val="0"/>
                <w:numId w:val="32"/>
              </w:numPr>
              <w:rPr>
                <w:rFonts w:cs="Times New Roman"/>
                <w:szCs w:val="24"/>
              </w:rPr>
            </w:pPr>
            <w:r w:rsidRPr="00EC2CEE">
              <w:t>Directives et ordonnances administratives de la défense 5016-0 – Normes de conduite et de discipline civiles, 1</w:t>
            </w:r>
            <w:r w:rsidRPr="00EC2CEE">
              <w:rPr>
                <w:vertAlign w:val="superscript"/>
              </w:rPr>
              <w:t>er</w:t>
            </w:r>
            <w:r w:rsidRPr="00EC2CEE">
              <w:t> avril 2005;</w:t>
            </w:r>
          </w:p>
          <w:p w14:paraId="4A5474A1" w14:textId="77777777" w:rsidR="009C0BB6" w:rsidRPr="00EC2CEE" w:rsidRDefault="009C0BB6" w:rsidP="009C0BB6">
            <w:pPr>
              <w:pStyle w:val="NoSpacing"/>
              <w:ind w:left="720"/>
              <w:rPr>
                <w:rFonts w:cs="Times New Roman"/>
                <w:szCs w:val="24"/>
              </w:rPr>
            </w:pPr>
          </w:p>
          <w:p w14:paraId="727EAB3D" w14:textId="167D6C2A" w:rsidR="00B859CD" w:rsidRPr="00EC2CEE" w:rsidRDefault="00B859CD" w:rsidP="00B859CD">
            <w:pPr>
              <w:pStyle w:val="NoSpacing"/>
              <w:numPr>
                <w:ilvl w:val="0"/>
                <w:numId w:val="32"/>
              </w:numPr>
              <w:rPr>
                <w:rFonts w:cs="Times New Roman"/>
                <w:szCs w:val="24"/>
              </w:rPr>
            </w:pPr>
            <w:r w:rsidRPr="00EC2CEE">
              <w:t>Directives et ordonnances administratives de la défense 7023-0 – Éthique de la Défense, 17 février 2017;</w:t>
            </w:r>
          </w:p>
          <w:p w14:paraId="38A276A7" w14:textId="77777777" w:rsidR="009C0BB6" w:rsidRPr="00EC2CEE" w:rsidRDefault="009C0BB6" w:rsidP="009C0BB6">
            <w:pPr>
              <w:pStyle w:val="NoSpacing"/>
              <w:ind w:left="720"/>
              <w:rPr>
                <w:rFonts w:cs="Times New Roman"/>
                <w:szCs w:val="24"/>
              </w:rPr>
            </w:pPr>
          </w:p>
          <w:p w14:paraId="007C276B" w14:textId="068AD0EB" w:rsidR="00B859CD" w:rsidRPr="00EC2CEE" w:rsidRDefault="00B859CD" w:rsidP="00B859CD">
            <w:pPr>
              <w:pStyle w:val="NoSpacing"/>
              <w:numPr>
                <w:ilvl w:val="0"/>
                <w:numId w:val="32"/>
              </w:numPr>
              <w:rPr>
                <w:rFonts w:cs="Times New Roman"/>
                <w:szCs w:val="24"/>
              </w:rPr>
            </w:pPr>
            <w:r w:rsidRPr="00EC2CEE">
              <w:t>Directives et ordonnances administratives de la défense 2008-3 – Gestion des problèmes et des crises;</w:t>
            </w:r>
          </w:p>
          <w:p w14:paraId="06937826" w14:textId="77777777" w:rsidR="009C0BB6" w:rsidRPr="00EC2CEE" w:rsidRDefault="009C0BB6" w:rsidP="009C0BB6">
            <w:pPr>
              <w:pStyle w:val="NoSpacing"/>
              <w:ind w:left="720"/>
              <w:rPr>
                <w:rFonts w:cs="Times New Roman"/>
                <w:szCs w:val="24"/>
              </w:rPr>
            </w:pPr>
          </w:p>
          <w:p w14:paraId="3600E8D9" w14:textId="7B4AFAF7" w:rsidR="00B859CD" w:rsidRPr="00EC2CEE" w:rsidRDefault="00B859CD" w:rsidP="00B859CD">
            <w:pPr>
              <w:pStyle w:val="NoSpacing"/>
              <w:numPr>
                <w:ilvl w:val="0"/>
                <w:numId w:val="32"/>
              </w:numPr>
              <w:rPr>
                <w:rFonts w:cs="Times New Roman"/>
                <w:szCs w:val="24"/>
              </w:rPr>
            </w:pPr>
            <w:r w:rsidRPr="00EC2CEE">
              <w:t>Directives et ordonnances administratives de la défense 5019-0 – Lacunes en matière de conduite et de rendement;</w:t>
            </w:r>
          </w:p>
          <w:p w14:paraId="3CB849BE" w14:textId="77777777" w:rsidR="009C0BB6" w:rsidRPr="00EC2CEE" w:rsidRDefault="009C0BB6" w:rsidP="009C0BB6">
            <w:pPr>
              <w:pStyle w:val="NoSpacing"/>
              <w:ind w:left="720"/>
              <w:rPr>
                <w:rFonts w:cs="Times New Roman"/>
                <w:szCs w:val="24"/>
              </w:rPr>
            </w:pPr>
          </w:p>
          <w:p w14:paraId="5BF1906B" w14:textId="53F1B8CA" w:rsidR="00B859CD" w:rsidRPr="00EC2CEE" w:rsidRDefault="00B859CD" w:rsidP="00B859CD">
            <w:pPr>
              <w:pStyle w:val="NoSpacing"/>
              <w:numPr>
                <w:ilvl w:val="0"/>
                <w:numId w:val="32"/>
              </w:numPr>
              <w:rPr>
                <w:rFonts w:cs="Times New Roman"/>
                <w:szCs w:val="24"/>
              </w:rPr>
            </w:pPr>
            <w:r w:rsidRPr="00EC2CEE">
              <w:t>Directives et ordonnances administratives de la défense 5019-1 – Relations personnelles et fraternisation;</w:t>
            </w:r>
          </w:p>
          <w:p w14:paraId="4D5A864D" w14:textId="77777777" w:rsidR="009C0BB6" w:rsidRPr="00EC2CEE" w:rsidRDefault="009C0BB6" w:rsidP="009C0BB6">
            <w:pPr>
              <w:pStyle w:val="NoSpacing"/>
              <w:ind w:left="720"/>
              <w:rPr>
                <w:rFonts w:cs="Times New Roman"/>
                <w:szCs w:val="24"/>
              </w:rPr>
            </w:pPr>
          </w:p>
          <w:p w14:paraId="5D3E3807" w14:textId="1B20C9FD" w:rsidR="00B859CD" w:rsidRPr="00EC2CEE" w:rsidRDefault="00B859CD" w:rsidP="00B859CD">
            <w:pPr>
              <w:pStyle w:val="NoSpacing"/>
              <w:numPr>
                <w:ilvl w:val="0"/>
                <w:numId w:val="32"/>
              </w:numPr>
              <w:rPr>
                <w:rFonts w:cs="Times New Roman"/>
                <w:szCs w:val="24"/>
              </w:rPr>
            </w:pPr>
            <w:r w:rsidRPr="00EC2CEE">
              <w:t>Directives et ordonnances administratives de la défense 5019-2 – Examen administratif;</w:t>
            </w:r>
          </w:p>
          <w:p w14:paraId="1D6D6238" w14:textId="77777777" w:rsidR="009C0BB6" w:rsidRPr="00EC2CEE" w:rsidRDefault="009C0BB6" w:rsidP="009C0BB6">
            <w:pPr>
              <w:pStyle w:val="NoSpacing"/>
              <w:ind w:left="720"/>
              <w:rPr>
                <w:rFonts w:cs="Times New Roman"/>
                <w:szCs w:val="24"/>
              </w:rPr>
            </w:pPr>
          </w:p>
          <w:p w14:paraId="36F8589C" w14:textId="63C1C148" w:rsidR="00B859CD" w:rsidRPr="00EC2CEE" w:rsidRDefault="00B859CD" w:rsidP="00B859CD">
            <w:pPr>
              <w:pStyle w:val="NoSpacing"/>
              <w:numPr>
                <w:ilvl w:val="0"/>
                <w:numId w:val="32"/>
              </w:numPr>
              <w:rPr>
                <w:rFonts w:cs="Times New Roman"/>
                <w:szCs w:val="24"/>
              </w:rPr>
            </w:pPr>
            <w:r w:rsidRPr="00EC2CEE">
              <w:t>Directives et ordonnances administratives de la défense 5019-4 – Mesures correctives;</w:t>
            </w:r>
          </w:p>
          <w:p w14:paraId="0F5E813D" w14:textId="77777777" w:rsidR="009C0BB6" w:rsidRPr="00EC2CEE" w:rsidRDefault="009C0BB6" w:rsidP="009C0BB6">
            <w:pPr>
              <w:pStyle w:val="NoSpacing"/>
              <w:ind w:left="720"/>
              <w:rPr>
                <w:rFonts w:cs="Times New Roman"/>
                <w:szCs w:val="24"/>
              </w:rPr>
            </w:pPr>
          </w:p>
          <w:p w14:paraId="044E50B2" w14:textId="29560D8B" w:rsidR="009C0BB6" w:rsidRPr="00EC2CEE" w:rsidRDefault="009C0BB6" w:rsidP="009C0BB6">
            <w:pPr>
              <w:pStyle w:val="NoSpacing"/>
              <w:numPr>
                <w:ilvl w:val="0"/>
                <w:numId w:val="32"/>
              </w:numPr>
              <w:rPr>
                <w:rFonts w:cs="Times New Roman"/>
                <w:szCs w:val="24"/>
              </w:rPr>
            </w:pPr>
            <w:r w:rsidRPr="00EC2CEE">
              <w:t xml:space="preserve">Directives et ordonnances administratives de la défense 1002-0 : Administration de la </w:t>
            </w:r>
            <w:r w:rsidRPr="00EC2CEE">
              <w:rPr>
                <w:i/>
                <w:iCs/>
              </w:rPr>
              <w:t>Loi sur la protection des renseignements personnels</w:t>
            </w:r>
            <w:r w:rsidRPr="00EC2CEE">
              <w:t>;</w:t>
            </w:r>
          </w:p>
          <w:p w14:paraId="65525367" w14:textId="77777777" w:rsidR="009C0BB6" w:rsidRPr="00EC2CEE" w:rsidRDefault="009C0BB6" w:rsidP="009C0BB6">
            <w:pPr>
              <w:pStyle w:val="NoSpacing"/>
              <w:ind w:left="720"/>
              <w:rPr>
                <w:rFonts w:cs="Times New Roman"/>
                <w:szCs w:val="24"/>
              </w:rPr>
            </w:pPr>
          </w:p>
          <w:p w14:paraId="4B7A62E1" w14:textId="06C10254" w:rsidR="009C0BB6" w:rsidRPr="00EC2CEE" w:rsidRDefault="009C0BB6" w:rsidP="009C0BB6">
            <w:pPr>
              <w:pStyle w:val="NoSpacing"/>
              <w:numPr>
                <w:ilvl w:val="0"/>
                <w:numId w:val="32"/>
              </w:numPr>
              <w:rPr>
                <w:rFonts w:cs="Times New Roman"/>
                <w:szCs w:val="24"/>
              </w:rPr>
            </w:pPr>
            <w:r w:rsidRPr="00EC2CEE">
              <w:lastRenderedPageBreak/>
              <w:t xml:space="preserve">Directives et ordonnances administratives de la défense 1002-1 – Demandes en vertu de la </w:t>
            </w:r>
            <w:r w:rsidRPr="00EC2CEE">
              <w:rPr>
                <w:i/>
                <w:iCs/>
              </w:rPr>
              <w:t>Loi sur la protection des renseignements personnels</w:t>
            </w:r>
            <w:r w:rsidRPr="00EC2CEE">
              <w:t xml:space="preserve"> et correction des renseignements personnels;</w:t>
            </w:r>
          </w:p>
          <w:p w14:paraId="35830A36" w14:textId="77777777" w:rsidR="009C0BB6" w:rsidRPr="00EC2CEE" w:rsidRDefault="009C0BB6" w:rsidP="009C0BB6">
            <w:pPr>
              <w:pStyle w:val="NoSpacing"/>
              <w:ind w:left="720"/>
              <w:rPr>
                <w:rFonts w:cs="Times New Roman"/>
                <w:szCs w:val="24"/>
              </w:rPr>
            </w:pPr>
          </w:p>
          <w:p w14:paraId="31301DA4" w14:textId="7157F296" w:rsidR="009C0BB6" w:rsidRPr="00EC2CEE" w:rsidRDefault="009C0BB6" w:rsidP="009C0BB6">
            <w:pPr>
              <w:pStyle w:val="NoSpacing"/>
              <w:numPr>
                <w:ilvl w:val="0"/>
                <w:numId w:val="32"/>
              </w:numPr>
              <w:rPr>
                <w:rFonts w:cs="Times New Roman"/>
                <w:szCs w:val="24"/>
              </w:rPr>
            </w:pPr>
            <w:r w:rsidRPr="00EC2CEE">
              <w:t>Directives et ordonnances administratives de la défense 2006-0 – Sécurité de la Défense;</w:t>
            </w:r>
          </w:p>
          <w:p w14:paraId="560249B8" w14:textId="77777777" w:rsidR="009C0BB6" w:rsidRPr="00EC2CEE" w:rsidRDefault="009C0BB6" w:rsidP="009C0BB6">
            <w:pPr>
              <w:pStyle w:val="NoSpacing"/>
              <w:ind w:left="720"/>
              <w:rPr>
                <w:rFonts w:cs="Times New Roman"/>
                <w:szCs w:val="24"/>
              </w:rPr>
            </w:pPr>
          </w:p>
          <w:p w14:paraId="1DEDF67F" w14:textId="30D300F8" w:rsidR="009C0BB6" w:rsidRPr="00EC2CEE" w:rsidRDefault="009C0BB6" w:rsidP="009C0BB6">
            <w:pPr>
              <w:pStyle w:val="NoSpacing"/>
              <w:numPr>
                <w:ilvl w:val="0"/>
                <w:numId w:val="32"/>
              </w:numPr>
              <w:rPr>
                <w:rFonts w:cs="Times New Roman"/>
                <w:szCs w:val="24"/>
              </w:rPr>
            </w:pPr>
            <w:r w:rsidRPr="00EC2CEE">
              <w:t>Directives et ordonnances administratives de la défense 5017-0 – Santé mentale;</w:t>
            </w:r>
          </w:p>
          <w:p w14:paraId="29D8FDDE" w14:textId="77777777" w:rsidR="009C0BB6" w:rsidRPr="00EC2CEE" w:rsidRDefault="009C0BB6" w:rsidP="009C0BB6">
            <w:pPr>
              <w:pStyle w:val="NoSpacing"/>
              <w:ind w:left="720"/>
              <w:rPr>
                <w:rFonts w:cs="Times New Roman"/>
                <w:szCs w:val="24"/>
              </w:rPr>
            </w:pPr>
          </w:p>
          <w:p w14:paraId="4D16186A" w14:textId="746475DD" w:rsidR="009C0BB6" w:rsidRPr="00EC2CEE" w:rsidRDefault="009C0BB6" w:rsidP="009C0BB6">
            <w:pPr>
              <w:pStyle w:val="NoSpacing"/>
              <w:numPr>
                <w:ilvl w:val="0"/>
                <w:numId w:val="32"/>
              </w:numPr>
              <w:rPr>
                <w:rFonts w:cs="Times New Roman"/>
                <w:szCs w:val="24"/>
              </w:rPr>
            </w:pPr>
            <w:r w:rsidRPr="00EC2CEE">
              <w:t>Directives et ordonnances administratives de la défense 5044-4 – Violence en milieu familial;</w:t>
            </w:r>
          </w:p>
          <w:p w14:paraId="4D0A9B71" w14:textId="77777777" w:rsidR="009C0BB6" w:rsidRPr="00EC2CEE" w:rsidRDefault="009C0BB6" w:rsidP="009C0BB6">
            <w:pPr>
              <w:pStyle w:val="NoSpacing"/>
              <w:ind w:left="720"/>
              <w:rPr>
                <w:rFonts w:cs="Times New Roman"/>
                <w:szCs w:val="24"/>
              </w:rPr>
            </w:pPr>
          </w:p>
          <w:p w14:paraId="63B36FC6" w14:textId="77A1623F" w:rsidR="009C0BB6" w:rsidRPr="00EC2CEE" w:rsidRDefault="009C0BB6" w:rsidP="009C0BB6">
            <w:pPr>
              <w:pStyle w:val="NoSpacing"/>
              <w:numPr>
                <w:ilvl w:val="0"/>
                <w:numId w:val="32"/>
              </w:numPr>
              <w:rPr>
                <w:rFonts w:cs="Times New Roman"/>
                <w:szCs w:val="24"/>
              </w:rPr>
            </w:pPr>
            <w:r w:rsidRPr="00EC2CEE">
              <w:t>Directives et ordonnances administratives de la défense 5516-0 – Droits de la personne;</w:t>
            </w:r>
          </w:p>
          <w:p w14:paraId="0543094B" w14:textId="77777777" w:rsidR="009C0BB6" w:rsidRPr="00EC2CEE" w:rsidRDefault="009C0BB6" w:rsidP="009C0BB6">
            <w:pPr>
              <w:pStyle w:val="NoSpacing"/>
              <w:ind w:left="720"/>
              <w:rPr>
                <w:rFonts w:cs="Times New Roman"/>
                <w:szCs w:val="24"/>
              </w:rPr>
            </w:pPr>
          </w:p>
          <w:p w14:paraId="75D3F3E4" w14:textId="7B9068EB" w:rsidR="009C0BB6" w:rsidRPr="00EC2CEE" w:rsidRDefault="009C0BB6" w:rsidP="009C0BB6">
            <w:pPr>
              <w:pStyle w:val="NoSpacing"/>
              <w:numPr>
                <w:ilvl w:val="0"/>
                <w:numId w:val="32"/>
              </w:numPr>
              <w:rPr>
                <w:rFonts w:cs="Times New Roman"/>
                <w:szCs w:val="24"/>
              </w:rPr>
            </w:pPr>
            <w:r w:rsidRPr="00EC2CEE">
              <w:t>Directives et ordonnances administratives de la défense 6002-2 – Utilisation légitime d</w:t>
            </w:r>
            <w:r w:rsidR="00180A75" w:rsidRPr="00EC2CEE">
              <w:t>’</w:t>
            </w:r>
            <w:r w:rsidRPr="00EC2CEE">
              <w:t>Internet, de l</w:t>
            </w:r>
            <w:r w:rsidR="00180A75" w:rsidRPr="00EC2CEE">
              <w:t>’</w:t>
            </w:r>
            <w:r w:rsidRPr="00EC2CEE">
              <w:t>intranet de la Défense, d</w:t>
            </w:r>
            <w:r w:rsidR="00180A75" w:rsidRPr="00EC2CEE">
              <w:t>’</w:t>
            </w:r>
            <w:r w:rsidRPr="00EC2CEE">
              <w:t>ordinateurs et d</w:t>
            </w:r>
            <w:r w:rsidR="00180A75" w:rsidRPr="00EC2CEE">
              <w:t>’</w:t>
            </w:r>
            <w:r w:rsidRPr="00EC2CEE">
              <w:t>autres systèmes d</w:t>
            </w:r>
            <w:r w:rsidR="00180A75" w:rsidRPr="00EC2CEE">
              <w:t>’</w:t>
            </w:r>
            <w:r w:rsidRPr="00EC2CEE">
              <w:t>information;</w:t>
            </w:r>
          </w:p>
          <w:p w14:paraId="593A2F6D" w14:textId="77777777" w:rsidR="009C0BB6" w:rsidRPr="00EC2CEE" w:rsidRDefault="009C0BB6" w:rsidP="009C0BB6">
            <w:pPr>
              <w:pStyle w:val="NoSpacing"/>
              <w:ind w:left="720"/>
              <w:rPr>
                <w:rFonts w:cs="Times New Roman"/>
                <w:szCs w:val="24"/>
              </w:rPr>
            </w:pPr>
          </w:p>
          <w:p w14:paraId="5F40606C" w14:textId="0E7237AA" w:rsidR="009C0BB6" w:rsidRPr="00EC2CEE" w:rsidRDefault="009C0BB6" w:rsidP="009C0BB6">
            <w:pPr>
              <w:pStyle w:val="NoSpacing"/>
              <w:numPr>
                <w:ilvl w:val="0"/>
                <w:numId w:val="32"/>
              </w:numPr>
              <w:rPr>
                <w:rFonts w:cs="Times New Roman"/>
                <w:szCs w:val="24"/>
              </w:rPr>
            </w:pPr>
            <w:r w:rsidRPr="00EC2CEE">
              <w:t xml:space="preserve">Directives et ordonnances administratives de la défense 7002-3 – Sujets des enquêtes et références; </w:t>
            </w:r>
          </w:p>
          <w:p w14:paraId="4ECE3CD7" w14:textId="77777777" w:rsidR="009C0BB6" w:rsidRPr="00EC2CEE" w:rsidRDefault="009C0BB6" w:rsidP="009C0BB6">
            <w:pPr>
              <w:pStyle w:val="NoSpacing"/>
              <w:ind w:left="720"/>
              <w:rPr>
                <w:rFonts w:cs="Times New Roman"/>
                <w:szCs w:val="24"/>
              </w:rPr>
            </w:pPr>
          </w:p>
          <w:p w14:paraId="43BFECF8" w14:textId="5D117B1D" w:rsidR="009C0BB6" w:rsidRPr="00EC2CEE" w:rsidRDefault="009C0BB6" w:rsidP="009C0BB6">
            <w:pPr>
              <w:pStyle w:val="NoSpacing"/>
              <w:numPr>
                <w:ilvl w:val="0"/>
                <w:numId w:val="32"/>
              </w:numPr>
              <w:rPr>
                <w:rFonts w:cs="Times New Roman"/>
                <w:szCs w:val="24"/>
              </w:rPr>
            </w:pPr>
            <w:r w:rsidRPr="00EC2CEE">
              <w:t>Directives et ordonnances administratives de la défense 7024-0 – Divulgation d</w:t>
            </w:r>
            <w:r w:rsidR="00180A75" w:rsidRPr="00EC2CEE">
              <w:t>’</w:t>
            </w:r>
            <w:r w:rsidRPr="00EC2CEE">
              <w:t>actes répréhensibles en milieu de travail;</w:t>
            </w:r>
          </w:p>
          <w:p w14:paraId="0FCE2FEB" w14:textId="77777777" w:rsidR="009C0BB6" w:rsidRPr="00EC2CEE" w:rsidRDefault="009C0BB6" w:rsidP="009C0BB6">
            <w:pPr>
              <w:pStyle w:val="NoSpacing"/>
              <w:ind w:left="720"/>
              <w:rPr>
                <w:rFonts w:cs="Times New Roman"/>
                <w:szCs w:val="24"/>
              </w:rPr>
            </w:pPr>
          </w:p>
          <w:p w14:paraId="34F2C8DA" w14:textId="3F1ADCDB" w:rsidR="009C0BB6" w:rsidRPr="00EC2CEE" w:rsidRDefault="009C0BB6" w:rsidP="009C0BB6">
            <w:pPr>
              <w:pStyle w:val="NoSpacing"/>
              <w:numPr>
                <w:ilvl w:val="0"/>
                <w:numId w:val="32"/>
              </w:numPr>
              <w:rPr>
                <w:rFonts w:cs="Times New Roman"/>
                <w:szCs w:val="24"/>
              </w:rPr>
            </w:pPr>
            <w:r w:rsidRPr="00EC2CEE">
              <w:t>Directives et ordonnances administratives de la défense 7024-1 – Mécanismes internes de divulgation par des employés du MDN d</w:t>
            </w:r>
            <w:r w:rsidR="00180A75" w:rsidRPr="00EC2CEE">
              <w:t>’</w:t>
            </w:r>
            <w:r w:rsidRPr="00EC2CEE">
              <w:t>actes répréhensibles en milieu de travail;</w:t>
            </w:r>
          </w:p>
          <w:p w14:paraId="62E42CF7" w14:textId="77777777" w:rsidR="009C0BB6" w:rsidRPr="00EC2CEE" w:rsidRDefault="009C0BB6" w:rsidP="009C0BB6">
            <w:pPr>
              <w:pStyle w:val="NoSpacing"/>
              <w:ind w:left="720"/>
              <w:rPr>
                <w:rFonts w:cs="Times New Roman"/>
                <w:szCs w:val="24"/>
              </w:rPr>
            </w:pPr>
          </w:p>
          <w:p w14:paraId="6110161B" w14:textId="42C391EB" w:rsidR="009C0BB6" w:rsidRPr="00EC2CEE" w:rsidRDefault="009C0BB6" w:rsidP="009C0BB6">
            <w:pPr>
              <w:pStyle w:val="NoSpacing"/>
              <w:numPr>
                <w:ilvl w:val="0"/>
                <w:numId w:val="32"/>
              </w:numPr>
              <w:rPr>
                <w:rFonts w:cs="Times New Roman"/>
                <w:szCs w:val="24"/>
              </w:rPr>
            </w:pPr>
            <w:r w:rsidRPr="00EC2CEE">
              <w:t>CANFORGEN 134/12 – Décentralisation des pouvoirs liés aux mesures correctives et administratives;</w:t>
            </w:r>
          </w:p>
          <w:p w14:paraId="5125E9D9" w14:textId="77777777" w:rsidR="009C0BB6" w:rsidRPr="00EC2CEE" w:rsidRDefault="009C0BB6" w:rsidP="009C0BB6">
            <w:pPr>
              <w:pStyle w:val="NoSpacing"/>
              <w:ind w:left="720"/>
              <w:rPr>
                <w:rFonts w:cs="Times New Roman"/>
                <w:szCs w:val="24"/>
              </w:rPr>
            </w:pPr>
          </w:p>
          <w:p w14:paraId="14DE1880" w14:textId="1EEE9B2B" w:rsidR="009C0BB6" w:rsidRPr="00EC2CEE" w:rsidRDefault="009C0BB6" w:rsidP="009C0BB6">
            <w:pPr>
              <w:pStyle w:val="NoSpacing"/>
              <w:numPr>
                <w:ilvl w:val="0"/>
                <w:numId w:val="32"/>
              </w:numPr>
              <w:rPr>
                <w:rFonts w:cs="Times New Roman"/>
                <w:szCs w:val="24"/>
              </w:rPr>
            </w:pPr>
            <w:r w:rsidRPr="00EC2CEE">
              <w:t>CANFORGEN 112/14 – Décentralisation des pouvoirs liés aux mesures correctives et administratives;</w:t>
            </w:r>
          </w:p>
          <w:p w14:paraId="00506CCB" w14:textId="286A662A" w:rsidR="009C0BB6" w:rsidRPr="00EC2CEE" w:rsidRDefault="009C0BB6" w:rsidP="009C0BB6">
            <w:pPr>
              <w:pStyle w:val="NoSpacing"/>
              <w:ind w:left="720"/>
              <w:rPr>
                <w:rFonts w:cs="Times New Roman"/>
                <w:szCs w:val="24"/>
              </w:rPr>
            </w:pPr>
            <w:r w:rsidRPr="00EC2CEE">
              <w:t xml:space="preserve"> </w:t>
            </w:r>
          </w:p>
          <w:p w14:paraId="7353FB65" w14:textId="6ECBE3C9" w:rsidR="009C0BB6" w:rsidRPr="00EC2CEE" w:rsidRDefault="009C0BB6" w:rsidP="009C0BB6">
            <w:pPr>
              <w:pStyle w:val="NoSpacing"/>
              <w:numPr>
                <w:ilvl w:val="0"/>
                <w:numId w:val="32"/>
              </w:numPr>
              <w:rPr>
                <w:rFonts w:cs="Times New Roman"/>
                <w:szCs w:val="24"/>
              </w:rPr>
            </w:pPr>
            <w:r w:rsidRPr="00EC2CEE">
              <w:t>Ordonnances et règlements royaux applicables aux Forces canadiennes, volume IV, appendice 6.1 – Ordonnances et règlements royaux applicables aux collèges militaires du Canada;</w:t>
            </w:r>
          </w:p>
          <w:p w14:paraId="443976C8" w14:textId="77777777" w:rsidR="009C0BB6" w:rsidRPr="00EC2CEE" w:rsidRDefault="009C0BB6" w:rsidP="009C0BB6">
            <w:pPr>
              <w:pStyle w:val="NoSpacing"/>
              <w:ind w:left="720"/>
              <w:rPr>
                <w:rFonts w:cs="Times New Roman"/>
                <w:szCs w:val="24"/>
              </w:rPr>
            </w:pPr>
          </w:p>
          <w:p w14:paraId="77E046BA" w14:textId="77413042" w:rsidR="009C0BB6" w:rsidRPr="00EC2CEE" w:rsidRDefault="009C0BB6" w:rsidP="009C0BB6">
            <w:pPr>
              <w:pStyle w:val="NoSpacing"/>
              <w:numPr>
                <w:ilvl w:val="0"/>
                <w:numId w:val="32"/>
              </w:numPr>
              <w:rPr>
                <w:rFonts w:cs="Times New Roman"/>
                <w:szCs w:val="24"/>
              </w:rPr>
            </w:pPr>
            <w:r w:rsidRPr="00EC2CEE">
              <w:t xml:space="preserve">Code de discipline militaire, Partie III de la </w:t>
            </w:r>
            <w:r w:rsidRPr="00EC2CEE">
              <w:rPr>
                <w:i/>
                <w:iCs/>
              </w:rPr>
              <w:t>Loi sur la défense nationale</w:t>
            </w:r>
            <w:r w:rsidRPr="00EC2CEE">
              <w:t>;</w:t>
            </w:r>
          </w:p>
          <w:p w14:paraId="1AE551B5" w14:textId="77777777" w:rsidR="009C0BB6" w:rsidRPr="00EC2CEE" w:rsidRDefault="009C0BB6" w:rsidP="009C0BB6">
            <w:pPr>
              <w:pStyle w:val="NoSpacing"/>
              <w:ind w:left="720"/>
              <w:rPr>
                <w:rFonts w:cs="Times New Roman"/>
                <w:szCs w:val="24"/>
              </w:rPr>
            </w:pPr>
          </w:p>
          <w:p w14:paraId="72064348" w14:textId="4572D9EC" w:rsidR="009C0BB6" w:rsidRPr="00EC2CEE" w:rsidRDefault="009C0BB6" w:rsidP="009C0BB6">
            <w:pPr>
              <w:pStyle w:val="NoSpacing"/>
              <w:numPr>
                <w:ilvl w:val="0"/>
                <w:numId w:val="32"/>
              </w:numPr>
              <w:rPr>
                <w:rFonts w:cs="Times New Roman"/>
                <w:szCs w:val="24"/>
              </w:rPr>
            </w:pPr>
            <w:r w:rsidRPr="00EC2CEE">
              <w:t>Directive du Chef d</w:t>
            </w:r>
            <w:r w:rsidR="00180A75" w:rsidRPr="00EC2CEE">
              <w:t>’</w:t>
            </w:r>
            <w:r w:rsidRPr="00EC2CEE">
              <w:t>état-major de la défense aux commandants et à leurs équipes de leadership;</w:t>
            </w:r>
          </w:p>
          <w:p w14:paraId="5611784E" w14:textId="77777777" w:rsidR="009C0BB6" w:rsidRPr="00EC2CEE" w:rsidRDefault="009C0BB6" w:rsidP="009C0BB6">
            <w:pPr>
              <w:pStyle w:val="NoSpacing"/>
              <w:ind w:left="720"/>
              <w:rPr>
                <w:rFonts w:cs="Times New Roman"/>
                <w:szCs w:val="24"/>
              </w:rPr>
            </w:pPr>
          </w:p>
          <w:p w14:paraId="755008C7" w14:textId="685E0111" w:rsidR="009C0BB6" w:rsidRPr="00EC2CEE" w:rsidRDefault="009C0BB6" w:rsidP="009C0BB6">
            <w:pPr>
              <w:pStyle w:val="NoSpacing"/>
              <w:numPr>
                <w:ilvl w:val="0"/>
                <w:numId w:val="32"/>
              </w:numPr>
              <w:rPr>
                <w:rFonts w:cs="Times New Roman"/>
                <w:szCs w:val="24"/>
              </w:rPr>
            </w:pPr>
            <w:r w:rsidRPr="00EC2CEE">
              <w:t>Instruction du SMA(RH-Mil) 03/04 – La Gamme de soins garantis par les Forces canadiennes;</w:t>
            </w:r>
          </w:p>
          <w:p w14:paraId="7FABC914" w14:textId="77777777" w:rsidR="009C0BB6" w:rsidRPr="00EC2CEE" w:rsidRDefault="009C0BB6" w:rsidP="009C0BB6">
            <w:pPr>
              <w:pStyle w:val="NoSpacing"/>
              <w:ind w:left="720"/>
              <w:rPr>
                <w:rFonts w:cs="Times New Roman"/>
                <w:szCs w:val="24"/>
              </w:rPr>
            </w:pPr>
          </w:p>
          <w:p w14:paraId="1A6DC297" w14:textId="5A85E858" w:rsidR="009C0BB6" w:rsidRPr="00EC2CEE" w:rsidRDefault="009C0BB6" w:rsidP="009C0BB6">
            <w:pPr>
              <w:pStyle w:val="NoSpacing"/>
              <w:numPr>
                <w:ilvl w:val="0"/>
                <w:numId w:val="32"/>
              </w:numPr>
              <w:rPr>
                <w:rFonts w:cs="Times New Roman"/>
                <w:szCs w:val="24"/>
              </w:rPr>
            </w:pPr>
            <w:r w:rsidRPr="00EC2CEE">
              <w:t>Instruction du SMA(RH-Mil) 07/04 – Programme d</w:t>
            </w:r>
            <w:r w:rsidR="00180A75" w:rsidRPr="00EC2CEE">
              <w:t>’</w:t>
            </w:r>
            <w:r w:rsidRPr="00EC2CEE">
              <w:t>aide aux membres des Forces canadiennes;</w:t>
            </w:r>
          </w:p>
          <w:p w14:paraId="6A1028E3" w14:textId="77777777" w:rsidR="009C0BB6" w:rsidRPr="00EC2CEE" w:rsidRDefault="009C0BB6" w:rsidP="009C0BB6">
            <w:pPr>
              <w:pStyle w:val="NoSpacing"/>
              <w:ind w:left="720"/>
              <w:rPr>
                <w:rFonts w:cs="Times New Roman"/>
                <w:szCs w:val="24"/>
              </w:rPr>
            </w:pPr>
          </w:p>
          <w:p w14:paraId="7FCEDDEA" w14:textId="00AFA50F" w:rsidR="009C0BB6" w:rsidRPr="00EC2CEE" w:rsidRDefault="009C0BB6" w:rsidP="009C0BB6">
            <w:pPr>
              <w:pStyle w:val="NoSpacing"/>
              <w:numPr>
                <w:ilvl w:val="0"/>
                <w:numId w:val="32"/>
              </w:numPr>
              <w:rPr>
                <w:rFonts w:cs="Times New Roman"/>
                <w:szCs w:val="24"/>
              </w:rPr>
            </w:pPr>
            <w:r w:rsidRPr="00EC2CEE">
              <w:t xml:space="preserve">Instruction 4000-25 du Gp </w:t>
            </w:r>
            <w:proofErr w:type="spellStart"/>
            <w:r w:rsidRPr="00EC2CEE">
              <w:t>Svc</w:t>
            </w:r>
            <w:proofErr w:type="spellEnd"/>
            <w:r w:rsidRPr="00EC2CEE">
              <w:t xml:space="preserve"> S FC – Gestion des soins médicaux liés aux inconduites sexuelles;</w:t>
            </w:r>
          </w:p>
          <w:p w14:paraId="6D5BE87E" w14:textId="77777777" w:rsidR="009C0BB6" w:rsidRPr="00EC2CEE" w:rsidRDefault="009C0BB6" w:rsidP="009C0BB6">
            <w:pPr>
              <w:pStyle w:val="NoSpacing"/>
              <w:ind w:left="720"/>
              <w:rPr>
                <w:rFonts w:cs="Times New Roman"/>
                <w:szCs w:val="24"/>
              </w:rPr>
            </w:pPr>
          </w:p>
          <w:p w14:paraId="3E2449A7" w14:textId="5DAAD79C" w:rsidR="009C0BB6" w:rsidRPr="00EC2CEE" w:rsidRDefault="009C0BB6" w:rsidP="009C0BB6">
            <w:pPr>
              <w:pStyle w:val="NoSpacing"/>
              <w:numPr>
                <w:ilvl w:val="0"/>
                <w:numId w:val="32"/>
              </w:numPr>
              <w:rPr>
                <w:rFonts w:cs="Times New Roman"/>
                <w:szCs w:val="24"/>
              </w:rPr>
            </w:pPr>
            <w:r w:rsidRPr="00EC2CEE">
              <w:t xml:space="preserve">Instruction 4030-06 du Gp </w:t>
            </w:r>
            <w:proofErr w:type="spellStart"/>
            <w:r w:rsidRPr="00EC2CEE">
              <w:t>Svc</w:t>
            </w:r>
            <w:proofErr w:type="spellEnd"/>
            <w:r w:rsidRPr="00EC2CEE">
              <w:t xml:space="preserve"> S FC – Consultation médicale pendant une procédure administrative ou disciplinaire;</w:t>
            </w:r>
          </w:p>
          <w:p w14:paraId="7488C4E3" w14:textId="77777777" w:rsidR="009C0BB6" w:rsidRPr="00EC2CEE" w:rsidRDefault="009C0BB6" w:rsidP="00EB42B1">
            <w:pPr>
              <w:pStyle w:val="NoSpacing"/>
              <w:rPr>
                <w:rFonts w:cs="Times New Roman"/>
                <w:szCs w:val="24"/>
              </w:rPr>
            </w:pPr>
          </w:p>
          <w:p w14:paraId="207F952E" w14:textId="3CBB9C09" w:rsidR="009C0BB6" w:rsidRPr="00EC2CEE" w:rsidRDefault="009C0BB6" w:rsidP="009C0BB6">
            <w:pPr>
              <w:pStyle w:val="NoSpacing"/>
              <w:numPr>
                <w:ilvl w:val="0"/>
                <w:numId w:val="32"/>
              </w:numPr>
              <w:rPr>
                <w:rFonts w:cs="Times New Roman"/>
                <w:szCs w:val="24"/>
              </w:rPr>
            </w:pPr>
            <w:r w:rsidRPr="00EC2CEE">
              <w:t>Arbre décisionnel pour la gestion d</w:t>
            </w:r>
            <w:r w:rsidR="00180A75" w:rsidRPr="00EC2CEE">
              <w:t>’</w:t>
            </w:r>
            <w:r w:rsidRPr="00EC2CEE">
              <w:t>incident lié à une inconduite sexuelle, disponible à l</w:t>
            </w:r>
            <w:r w:rsidR="00180A75" w:rsidRPr="00EC2CEE">
              <w:t>’</w:t>
            </w:r>
            <w:r w:rsidRPr="00EC2CEE">
              <w:t xml:space="preserve">adresse suivante : </w:t>
            </w:r>
            <w:hyperlink r:id="rId14">
              <w:r w:rsidRPr="00EC2CEE">
                <w:rPr>
                  <w:rStyle w:val="Hyperlink"/>
                </w:rPr>
                <w:t>https://www.canada.ca/fr/ministere-defense-nationale/services/avantages-militaires/conflits-inconduite/inconduite-sexuelle/ordonnances-politiques-directives/arbre-decisionnel.html</w:t>
              </w:r>
            </w:hyperlink>
            <w:r w:rsidRPr="00EC2CEE">
              <w:t>;</w:t>
            </w:r>
          </w:p>
          <w:p w14:paraId="44153135" w14:textId="77777777" w:rsidR="009C0BB6" w:rsidRPr="00EC2CEE" w:rsidRDefault="009C0BB6" w:rsidP="009C0BB6">
            <w:pPr>
              <w:pStyle w:val="NoSpacing"/>
              <w:ind w:left="720"/>
              <w:rPr>
                <w:rFonts w:cs="Times New Roman"/>
                <w:szCs w:val="24"/>
              </w:rPr>
            </w:pPr>
          </w:p>
          <w:p w14:paraId="598AC5A0" w14:textId="19D2BA0E" w:rsidR="009C0BB6" w:rsidRPr="00EC2CEE" w:rsidRDefault="009C0BB6" w:rsidP="009C0BB6">
            <w:pPr>
              <w:pStyle w:val="NoSpacing"/>
              <w:numPr>
                <w:ilvl w:val="0"/>
                <w:numId w:val="32"/>
              </w:numPr>
              <w:rPr>
                <w:rFonts w:cs="Times New Roman"/>
                <w:szCs w:val="24"/>
              </w:rPr>
            </w:pPr>
            <w:r w:rsidRPr="00EC2CEE">
              <w:t>Centre de soutien et de ressources sur l</w:t>
            </w:r>
            <w:r w:rsidR="00180A75" w:rsidRPr="00EC2CEE">
              <w:t>’</w:t>
            </w:r>
            <w:r w:rsidRPr="00EC2CEE">
              <w:t>inconduite sexuelle, disponible à l</w:t>
            </w:r>
            <w:r w:rsidR="00180A75" w:rsidRPr="00EC2CEE">
              <w:t>’</w:t>
            </w:r>
            <w:r w:rsidRPr="00EC2CEE">
              <w:t xml:space="preserve">adresse suivante : </w:t>
            </w:r>
            <w:hyperlink r:id="rId15">
              <w:r w:rsidRPr="00EC2CEE">
                <w:rPr>
                  <w:rStyle w:val="Hyperlink"/>
                </w:rPr>
                <w:t>https://www.canada.ca/fr/ministere-defense-nationale/services/avantages-militaires/sante-soutien/intervention-inconduite-sexuelle.html</w:t>
              </w:r>
            </w:hyperlink>
            <w:r w:rsidRPr="00EC2CEE">
              <w:t>;</w:t>
            </w:r>
          </w:p>
          <w:p w14:paraId="09790B40" w14:textId="77777777" w:rsidR="009C0BB6" w:rsidRPr="00EC2CEE" w:rsidRDefault="009C0BB6" w:rsidP="009C0BB6">
            <w:pPr>
              <w:pStyle w:val="NoSpacing"/>
              <w:ind w:left="720"/>
              <w:rPr>
                <w:rFonts w:cs="Times New Roman"/>
                <w:szCs w:val="24"/>
              </w:rPr>
            </w:pPr>
          </w:p>
          <w:p w14:paraId="554A79D9" w14:textId="097ECEBD" w:rsidR="00655139" w:rsidRPr="00EC2CEE" w:rsidRDefault="009C0BB6" w:rsidP="00655139">
            <w:pPr>
              <w:pStyle w:val="NoSpacing"/>
              <w:numPr>
                <w:ilvl w:val="0"/>
                <w:numId w:val="32"/>
              </w:numPr>
              <w:rPr>
                <w:rFonts w:cs="Times New Roman"/>
                <w:szCs w:val="24"/>
              </w:rPr>
            </w:pPr>
            <w:r w:rsidRPr="00EC2CEE">
              <w:t>Spectre de l</w:t>
            </w:r>
            <w:r w:rsidR="00180A75" w:rsidRPr="00EC2CEE">
              <w:t>’</w:t>
            </w:r>
            <w:r w:rsidRPr="00EC2CEE">
              <w:t>inconduite sexuelle, disponible à l</w:t>
            </w:r>
            <w:r w:rsidR="00180A75" w:rsidRPr="00EC2CEE">
              <w:t>’</w:t>
            </w:r>
            <w:r w:rsidRPr="00EC2CEE">
              <w:t xml:space="preserve">adresse suivante : </w:t>
            </w:r>
            <w:hyperlink r:id="rId16">
              <w:r w:rsidRPr="00EC2CEE">
                <w:rPr>
                  <w:rStyle w:val="Hyperlink"/>
                </w:rPr>
                <w:t>https://www.canada.ca/fr/ministere-defense-nationale/services/avantages-militaires/conflits-inconduite/inconduite-sexuelle/materiel-formation-pedagogique/spectre-inconduite-sexuelle.html</w:t>
              </w:r>
            </w:hyperlink>
            <w:r w:rsidRPr="00EC2CEE">
              <w:t>;</w:t>
            </w:r>
          </w:p>
          <w:p w14:paraId="6CB97C61" w14:textId="77777777" w:rsidR="00655139" w:rsidRPr="00EC2CEE" w:rsidRDefault="00655139" w:rsidP="00655139">
            <w:pPr>
              <w:pStyle w:val="NoSpacing"/>
              <w:ind w:left="720"/>
              <w:rPr>
                <w:rFonts w:cs="Times New Roman"/>
                <w:szCs w:val="24"/>
              </w:rPr>
            </w:pPr>
          </w:p>
          <w:p w14:paraId="3D5C6E18" w14:textId="3582496C" w:rsidR="00655139" w:rsidRPr="00EC2CEE" w:rsidRDefault="00655139" w:rsidP="00655139">
            <w:pPr>
              <w:pStyle w:val="NoSpacing"/>
              <w:numPr>
                <w:ilvl w:val="0"/>
                <w:numId w:val="32"/>
              </w:numPr>
              <w:rPr>
                <w:rFonts w:cs="Times New Roman"/>
                <w:szCs w:val="24"/>
              </w:rPr>
            </w:pPr>
            <w:r w:rsidRPr="00EC2CEE">
              <w:rPr>
                <w:i/>
                <w:iCs/>
              </w:rPr>
              <w:t>Code criminel du Canada, Lois révisées du Canada</w:t>
            </w:r>
            <w:r w:rsidRPr="00EC2CEE">
              <w:t>, (L.R.C.), 1985, с. С -46, disponible à l</w:t>
            </w:r>
            <w:r w:rsidR="00180A75" w:rsidRPr="00EC2CEE">
              <w:t>’</w:t>
            </w:r>
            <w:r w:rsidRPr="00EC2CEE">
              <w:t xml:space="preserve">adresse suivante : </w:t>
            </w:r>
            <w:hyperlink r:id="rId17">
              <w:r w:rsidRPr="00EC2CEE">
                <w:rPr>
                  <w:rStyle w:val="Hyperlink"/>
                </w:rPr>
                <w:t>https://laws-lois.justice.gc.ca/fra/lois/c-46/index.html</w:t>
              </w:r>
            </w:hyperlink>
            <w:r w:rsidRPr="00EC2CEE">
              <w:t>, date de consultation 1</w:t>
            </w:r>
            <w:r w:rsidRPr="00EC2CEE">
              <w:rPr>
                <w:vertAlign w:val="superscript"/>
              </w:rPr>
              <w:t>er</w:t>
            </w:r>
            <w:r w:rsidRPr="00EC2CEE">
              <w:t> décembre 2016</w:t>
            </w:r>
            <w:r w:rsidR="00875779" w:rsidRPr="00EC2CEE">
              <w:t>;</w:t>
            </w:r>
          </w:p>
          <w:p w14:paraId="36A5B067" w14:textId="77777777" w:rsidR="00655139" w:rsidRPr="00EC2CEE" w:rsidRDefault="00655139" w:rsidP="00655139">
            <w:pPr>
              <w:pStyle w:val="NoSpacing"/>
              <w:ind w:left="720"/>
              <w:rPr>
                <w:rFonts w:cs="Times New Roman"/>
                <w:szCs w:val="24"/>
              </w:rPr>
            </w:pPr>
          </w:p>
          <w:p w14:paraId="1DF86EA2" w14:textId="18BCEBAD" w:rsidR="00655139" w:rsidRPr="00EC2CEE" w:rsidRDefault="00655139" w:rsidP="00655139">
            <w:pPr>
              <w:pStyle w:val="NoSpacing"/>
              <w:numPr>
                <w:ilvl w:val="0"/>
                <w:numId w:val="32"/>
              </w:numPr>
              <w:rPr>
                <w:rFonts w:cs="Times New Roman"/>
                <w:szCs w:val="24"/>
              </w:rPr>
            </w:pPr>
            <w:r w:rsidRPr="00EC2CEE">
              <w:lastRenderedPageBreak/>
              <w:t>Conventions collectives pertinentes de la fonction publique, disponibles à l</w:t>
            </w:r>
            <w:r w:rsidR="00180A75" w:rsidRPr="00EC2CEE">
              <w:t>’</w:t>
            </w:r>
            <w:r w:rsidRPr="00EC2CEE">
              <w:t xml:space="preserve">adresse suivante : </w:t>
            </w:r>
            <w:hyperlink r:id="rId18" w:tgtFrame="_blank" w:history="1">
              <w:r w:rsidRPr="00EC2CEE">
                <w:rPr>
                  <w:rStyle w:val="Hyperlink"/>
                </w:rPr>
                <w:t>https://www.tbs-sct.canada.ca/agreementsconventions/index-fra.aspx</w:t>
              </w:r>
            </w:hyperlink>
            <w:r w:rsidRPr="00EC2CEE">
              <w:t>, date de consultation : 22 juin 2022;</w:t>
            </w:r>
          </w:p>
          <w:p w14:paraId="613F00AD" w14:textId="77777777" w:rsidR="00655139" w:rsidRPr="00EC2CEE" w:rsidRDefault="00655139" w:rsidP="00655139">
            <w:pPr>
              <w:pStyle w:val="NoSpacing"/>
              <w:ind w:left="720"/>
              <w:rPr>
                <w:rFonts w:cs="Times New Roman"/>
                <w:szCs w:val="24"/>
              </w:rPr>
            </w:pPr>
          </w:p>
          <w:p w14:paraId="5EB8F426" w14:textId="16460F12" w:rsidR="00655139" w:rsidRPr="00EC2CEE" w:rsidRDefault="00655139" w:rsidP="00655139">
            <w:pPr>
              <w:pStyle w:val="NoSpacing"/>
              <w:numPr>
                <w:ilvl w:val="0"/>
                <w:numId w:val="32"/>
              </w:numPr>
              <w:rPr>
                <w:rFonts w:cs="Times New Roman"/>
                <w:szCs w:val="24"/>
              </w:rPr>
            </w:pPr>
            <w:r w:rsidRPr="00EC2CEE">
              <w:t>Personnel des fonds non publics des Forces canadiennes, Lignes directrices sur la prévention et la résolution du harcèlement, juin 2011;</w:t>
            </w:r>
          </w:p>
          <w:p w14:paraId="1A2BBC2D" w14:textId="77777777" w:rsidR="00655139" w:rsidRPr="00EC2CEE" w:rsidRDefault="00655139" w:rsidP="00655139">
            <w:pPr>
              <w:pStyle w:val="NoSpacing"/>
              <w:ind w:left="720"/>
              <w:rPr>
                <w:rFonts w:cs="Times New Roman"/>
                <w:szCs w:val="24"/>
              </w:rPr>
            </w:pPr>
          </w:p>
          <w:p w14:paraId="787B3197" w14:textId="64AB41DA" w:rsidR="00655139" w:rsidRPr="00EC2CEE" w:rsidRDefault="00655139" w:rsidP="00655139">
            <w:pPr>
              <w:pStyle w:val="NoSpacing"/>
              <w:numPr>
                <w:ilvl w:val="0"/>
                <w:numId w:val="32"/>
              </w:numPr>
              <w:rPr>
                <w:rFonts w:cs="Times New Roman"/>
                <w:szCs w:val="24"/>
              </w:rPr>
            </w:pPr>
            <w:r w:rsidRPr="00EC2CEE">
              <w:rPr>
                <w:i/>
                <w:iCs/>
              </w:rPr>
              <w:t>Règlement sur les secteurs d</w:t>
            </w:r>
            <w:r w:rsidR="00180A75" w:rsidRPr="00EC2CEE">
              <w:rPr>
                <w:i/>
                <w:iCs/>
              </w:rPr>
              <w:t>’</w:t>
            </w:r>
            <w:r w:rsidRPr="00EC2CEE">
              <w:rPr>
                <w:i/>
                <w:iCs/>
              </w:rPr>
              <w:t>accès contrôlé relatif à la défense</w:t>
            </w:r>
            <w:r w:rsidRPr="00EC2CEE">
              <w:t>;</w:t>
            </w:r>
          </w:p>
          <w:p w14:paraId="1B596D47" w14:textId="77777777" w:rsidR="00655139" w:rsidRPr="00EC2CEE" w:rsidRDefault="00655139" w:rsidP="00655139">
            <w:pPr>
              <w:pStyle w:val="NoSpacing"/>
              <w:ind w:left="720"/>
              <w:rPr>
                <w:rFonts w:cs="Times New Roman"/>
                <w:szCs w:val="24"/>
              </w:rPr>
            </w:pPr>
          </w:p>
          <w:p w14:paraId="292A5B41" w14:textId="6AE6B32B" w:rsidR="00655139" w:rsidRPr="00EC2CEE" w:rsidRDefault="00655139" w:rsidP="00655139">
            <w:pPr>
              <w:pStyle w:val="NoSpacing"/>
              <w:numPr>
                <w:ilvl w:val="0"/>
                <w:numId w:val="32"/>
              </w:numPr>
              <w:rPr>
                <w:rFonts w:cs="Times New Roman"/>
                <w:szCs w:val="24"/>
              </w:rPr>
            </w:pPr>
            <w:r w:rsidRPr="00EC2CEE">
              <w:t>Projet de loi 132, Plan d</w:t>
            </w:r>
            <w:r w:rsidR="00180A75" w:rsidRPr="00EC2CEE">
              <w:t>’</w:t>
            </w:r>
            <w:r w:rsidRPr="00EC2CEE">
              <w:t>action contre la violence et le harcèlement sexuels (en soutien aux personnes affectées/aux victimes et en opposition à la violence et au harcèlement sexuels), 2016;</w:t>
            </w:r>
          </w:p>
          <w:p w14:paraId="7A078489" w14:textId="77777777" w:rsidR="00655139" w:rsidRPr="00EC2CEE" w:rsidRDefault="00655139" w:rsidP="00655139">
            <w:pPr>
              <w:pStyle w:val="NoSpacing"/>
              <w:ind w:left="1069"/>
              <w:rPr>
                <w:rFonts w:cs="Times New Roman"/>
                <w:szCs w:val="24"/>
              </w:rPr>
            </w:pPr>
          </w:p>
          <w:p w14:paraId="58FB8795" w14:textId="1E3DD690" w:rsidR="00655139" w:rsidRPr="00EC2CEE" w:rsidRDefault="00655139" w:rsidP="00655139">
            <w:pPr>
              <w:pStyle w:val="NoSpacing"/>
              <w:numPr>
                <w:ilvl w:val="0"/>
                <w:numId w:val="32"/>
              </w:numPr>
              <w:rPr>
                <w:rFonts w:cs="Times New Roman"/>
                <w:szCs w:val="24"/>
              </w:rPr>
            </w:pPr>
            <w:r w:rsidRPr="00EC2CEE">
              <w:t>Intervenir contre la violence à caractère sexuel – Guide de ressources pour les collèges et universités de l</w:t>
            </w:r>
            <w:r w:rsidR="00180A75" w:rsidRPr="00EC2CEE">
              <w:t>’</w:t>
            </w:r>
            <w:r w:rsidRPr="00EC2CEE">
              <w:t>Ontario, gouvernement de l</w:t>
            </w:r>
            <w:r w:rsidR="00180A75" w:rsidRPr="00EC2CEE">
              <w:t>’</w:t>
            </w:r>
            <w:r w:rsidRPr="00EC2CEE">
              <w:t>Ontario, 2013;</w:t>
            </w:r>
          </w:p>
          <w:p w14:paraId="42D06E8B" w14:textId="77777777" w:rsidR="00655139" w:rsidRPr="00EC2CEE" w:rsidRDefault="00655139" w:rsidP="00655139">
            <w:pPr>
              <w:pStyle w:val="NoSpacing"/>
              <w:ind w:left="720"/>
              <w:rPr>
                <w:rFonts w:cs="Times New Roman"/>
                <w:szCs w:val="24"/>
              </w:rPr>
            </w:pPr>
          </w:p>
          <w:p w14:paraId="448D3718" w14:textId="1E3DB657" w:rsidR="00655139" w:rsidRPr="00EC2CEE" w:rsidRDefault="00655139" w:rsidP="00655139">
            <w:pPr>
              <w:pStyle w:val="NoSpacing"/>
              <w:numPr>
                <w:ilvl w:val="0"/>
                <w:numId w:val="32"/>
              </w:numPr>
              <w:rPr>
                <w:rFonts w:cs="Times New Roman"/>
                <w:szCs w:val="24"/>
              </w:rPr>
            </w:pPr>
            <w:r w:rsidRPr="00EC2CEE">
              <w:t xml:space="preserve">Projet de loi C-65, </w:t>
            </w:r>
            <w:r w:rsidRPr="00EC2CEE">
              <w:rPr>
                <w:i/>
                <w:iCs/>
              </w:rPr>
              <w:t>Loi modifiant le Code canadien du travail</w:t>
            </w:r>
            <w:r w:rsidRPr="00EC2CEE">
              <w:t xml:space="preserve"> (harcèlement et violence), </w:t>
            </w:r>
            <w:r w:rsidRPr="00EC2CEE">
              <w:rPr>
                <w:i/>
                <w:iCs/>
              </w:rPr>
              <w:t>Loi sur les relations de travail au Parlement</w:t>
            </w:r>
            <w:r w:rsidRPr="00EC2CEE">
              <w:t xml:space="preserve"> et </w:t>
            </w:r>
            <w:r w:rsidRPr="00EC2CEE">
              <w:rPr>
                <w:i/>
                <w:iCs/>
              </w:rPr>
              <w:t>Loi d</w:t>
            </w:r>
            <w:r w:rsidR="00180A75" w:rsidRPr="00EC2CEE">
              <w:rPr>
                <w:i/>
                <w:iCs/>
              </w:rPr>
              <w:t>’</w:t>
            </w:r>
            <w:r w:rsidRPr="00EC2CEE">
              <w:rPr>
                <w:i/>
                <w:iCs/>
              </w:rPr>
              <w:t>exécution du budget</w:t>
            </w:r>
            <w:r w:rsidRPr="00EC2CEE">
              <w:t>, 2017;</w:t>
            </w:r>
          </w:p>
          <w:p w14:paraId="3F503099" w14:textId="77777777" w:rsidR="00DB7728" w:rsidRPr="00EC2CEE" w:rsidRDefault="00DB7728" w:rsidP="00DB7728">
            <w:pPr>
              <w:pStyle w:val="ListParagraph"/>
              <w:rPr>
                <w:rFonts w:cs="Times New Roman"/>
                <w:szCs w:val="24"/>
              </w:rPr>
            </w:pPr>
          </w:p>
          <w:p w14:paraId="7F7825D4" w14:textId="5ED91453" w:rsidR="00DB7728" w:rsidRPr="00EC2CEE" w:rsidRDefault="00DB7728" w:rsidP="00655139">
            <w:pPr>
              <w:pStyle w:val="NoSpacing"/>
              <w:numPr>
                <w:ilvl w:val="0"/>
                <w:numId w:val="32"/>
              </w:numPr>
              <w:rPr>
                <w:rFonts w:cs="Times New Roman"/>
                <w:szCs w:val="24"/>
              </w:rPr>
            </w:pPr>
            <w:r w:rsidRPr="00EC2CEE">
              <w:t>CANFORGEN 099/24 – Abrogation des règles relatives à l</w:t>
            </w:r>
            <w:r w:rsidR="00180A75" w:rsidRPr="00EC2CEE">
              <w:t>’</w:t>
            </w:r>
            <w:r w:rsidRPr="00EC2CEE">
              <w:t>obligation de signaler.</w:t>
            </w:r>
          </w:p>
          <w:p w14:paraId="1B2840FA" w14:textId="7B1E525B" w:rsidR="00655139" w:rsidRPr="00EC2CEE" w:rsidRDefault="00655139" w:rsidP="00655139">
            <w:pPr>
              <w:pStyle w:val="NoSpacing"/>
              <w:ind w:left="360"/>
              <w:rPr>
                <w:rFonts w:cs="Times New Roman"/>
                <w:szCs w:val="24"/>
              </w:rPr>
            </w:pPr>
          </w:p>
        </w:tc>
      </w:tr>
    </w:tbl>
    <w:p w14:paraId="128734B8" w14:textId="268492B2" w:rsidR="00CE3CFF" w:rsidRPr="002718EB" w:rsidRDefault="00CE3CFF" w:rsidP="00D70B92">
      <w:pPr>
        <w:pStyle w:val="NoSpacing"/>
      </w:pPr>
    </w:p>
    <w:sectPr w:rsidR="00CE3CFF" w:rsidRPr="002718EB">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AC4EA" w14:textId="77777777" w:rsidR="00E2152B" w:rsidRPr="00EC2CEE" w:rsidRDefault="00E2152B" w:rsidP="00FC5FE4">
      <w:pPr>
        <w:spacing w:after="0"/>
      </w:pPr>
      <w:r w:rsidRPr="00EC2CEE">
        <w:separator/>
      </w:r>
    </w:p>
  </w:endnote>
  <w:endnote w:type="continuationSeparator" w:id="0">
    <w:p w14:paraId="7714C849" w14:textId="77777777" w:rsidR="00E2152B" w:rsidRPr="00EC2CEE" w:rsidRDefault="00E2152B" w:rsidP="00FC5FE4">
      <w:pPr>
        <w:spacing w:after="0"/>
      </w:pPr>
      <w:r w:rsidRPr="00EC2CE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3A659" w14:textId="77777777" w:rsidR="00496378" w:rsidRPr="00EC2CEE" w:rsidRDefault="004963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76221" w14:textId="4BB778C5" w:rsidR="00FC5FE4" w:rsidRPr="00EC2CEE" w:rsidRDefault="00FC5FE4">
    <w:pPr>
      <w:pStyle w:val="Footer"/>
      <w:rPr>
        <w:rFonts w:cs="Times New Roman"/>
        <w:sz w:val="22"/>
      </w:rPr>
    </w:pPr>
    <w:r w:rsidRPr="00EC2CEE">
      <w:rPr>
        <w:rFonts w:cs="Times New Roman"/>
        <w:sz w:val="22"/>
      </w:rPr>
      <w:fldChar w:fldCharType="begin"/>
    </w:r>
    <w:r w:rsidRPr="00EC2CEE">
      <w:rPr>
        <w:rFonts w:cs="Times New Roman"/>
        <w:sz w:val="22"/>
      </w:rPr>
      <w:instrText xml:space="preserve"> PAGE   \* MERGEFORMAT </w:instrText>
    </w:r>
    <w:r w:rsidRPr="00EC2CEE">
      <w:rPr>
        <w:rFonts w:cs="Times New Roman"/>
        <w:sz w:val="22"/>
      </w:rPr>
      <w:fldChar w:fldCharType="separate"/>
    </w:r>
    <w:r w:rsidR="00556CB7" w:rsidRPr="00EC2CEE">
      <w:rPr>
        <w:rFonts w:cs="Times New Roman"/>
        <w:sz w:val="22"/>
      </w:rPr>
      <w:t>1</w:t>
    </w:r>
    <w:r w:rsidRPr="00EC2CEE">
      <w:rPr>
        <w:rFonts w:cs="Times New Roman"/>
        <w:sz w:val="22"/>
      </w:rPr>
      <w:fldChar w:fldCharType="end"/>
    </w:r>
    <w:r w:rsidRPr="00EC2CEE">
      <w:rPr>
        <w:sz w:val="22"/>
      </w:rPr>
      <w:t>/</w:t>
    </w:r>
    <w:r w:rsidRPr="00EC2CEE">
      <w:rPr>
        <w:rFonts w:cs="Times New Roman"/>
        <w:sz w:val="22"/>
      </w:rPr>
      <w:fldChar w:fldCharType="begin"/>
    </w:r>
    <w:r w:rsidRPr="00EC2CEE">
      <w:rPr>
        <w:rFonts w:cs="Times New Roman"/>
        <w:sz w:val="22"/>
      </w:rPr>
      <w:instrText xml:space="preserve"> NUMPAGES  \* Arabic  \* MERGEFORMAT </w:instrText>
    </w:r>
    <w:r w:rsidRPr="00EC2CEE">
      <w:rPr>
        <w:rFonts w:cs="Times New Roman"/>
        <w:sz w:val="22"/>
      </w:rPr>
      <w:fldChar w:fldCharType="separate"/>
    </w:r>
    <w:r w:rsidR="00556CB7" w:rsidRPr="00EC2CEE">
      <w:rPr>
        <w:rFonts w:cs="Times New Roman"/>
        <w:sz w:val="22"/>
      </w:rPr>
      <w:t>18</w:t>
    </w:r>
    <w:r w:rsidRPr="00EC2CEE">
      <w:rPr>
        <w:rFonts w:cs="Times New Roman"/>
        <w:sz w:val="22"/>
      </w:rPr>
      <w:fldChar w:fldCharType="end"/>
    </w:r>
    <w:r w:rsidRPr="00EC2CEE">
      <w:rPr>
        <w:sz w:val="22"/>
      </w:rPr>
      <w:tab/>
      <w:t>OPC 5019-1</w:t>
    </w:r>
    <w:r w:rsidR="00E00AD5" w:rsidRPr="00EC2CEE">
      <w:rPr>
        <w:sz w:val="22"/>
      </w:rPr>
      <w:tab/>
    </w:r>
    <w:r w:rsidRPr="00EC2CEE">
      <w:rPr>
        <w:sz w:val="22"/>
      </w:rPr>
      <w:t>Politique du CMR sur l</w:t>
    </w:r>
    <w:r w:rsidR="00180A75" w:rsidRPr="00EC2CEE">
      <w:rPr>
        <w:sz w:val="22"/>
      </w:rPr>
      <w:t>’</w:t>
    </w:r>
    <w:r w:rsidRPr="00EC2CEE">
      <w:rPr>
        <w:sz w:val="22"/>
      </w:rPr>
      <w:t>inconduite sexuelle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86BA4" w14:textId="77777777" w:rsidR="00496378" w:rsidRPr="00EC2CEE" w:rsidRDefault="00496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DEE70" w14:textId="77777777" w:rsidR="00E2152B" w:rsidRPr="00EC2CEE" w:rsidRDefault="00E2152B" w:rsidP="00FC5FE4">
      <w:pPr>
        <w:spacing w:after="0"/>
      </w:pPr>
      <w:r w:rsidRPr="00EC2CEE">
        <w:separator/>
      </w:r>
    </w:p>
  </w:footnote>
  <w:footnote w:type="continuationSeparator" w:id="0">
    <w:p w14:paraId="5DE28AAA" w14:textId="77777777" w:rsidR="00E2152B" w:rsidRPr="00EC2CEE" w:rsidRDefault="00E2152B" w:rsidP="00FC5FE4">
      <w:pPr>
        <w:spacing w:after="0"/>
      </w:pPr>
      <w:r w:rsidRPr="00EC2CE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2E59E" w14:textId="77777777" w:rsidR="00496378" w:rsidRPr="00EC2CEE" w:rsidRDefault="004963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880A2" w14:textId="77777777" w:rsidR="00FC5FE4" w:rsidRPr="00EC2CEE" w:rsidRDefault="00C35603">
    <w:pPr>
      <w:pStyle w:val="Header"/>
    </w:pPr>
    <w:r w:rsidRPr="00EC2CEE">
      <w:rPr>
        <w:color w:val="FF0000"/>
        <w:szCs w:val="24"/>
      </w:rPr>
      <w:object w:dxaOrig="1680" w:dyaOrig="2490" w14:anchorId="319C1C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8pt;height:65.4pt;mso-width-percent:0;mso-height-percent:0;mso-width-percent:0;mso-height-percent:0">
          <v:imagedata r:id="rId1" o:title=""/>
        </v:shape>
        <o:OLEObject Type="Embed" ProgID="PBrush" ShapeID="_x0000_i1025" DrawAspect="Content" ObjectID="_1812536342" r:id="rId2"/>
      </w:object>
    </w:r>
    <w:r w:rsidRPr="00EC2CEE">
      <w:rPr>
        <w:color w:val="000000"/>
        <w:sz w:val="28"/>
        <w:szCs w:val="28"/>
      </w:rPr>
      <w:t>Ordre permanent du Collège militaire royal (OPC)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0740D" w14:textId="77777777" w:rsidR="00496378" w:rsidRPr="00EC2CEE" w:rsidRDefault="004963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11DA"/>
    <w:multiLevelType w:val="hybridMultilevel"/>
    <w:tmpl w:val="21ECB31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910766"/>
    <w:multiLevelType w:val="hybridMultilevel"/>
    <w:tmpl w:val="D64A544A"/>
    <w:lvl w:ilvl="0" w:tplc="E42E703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71EBA"/>
    <w:multiLevelType w:val="hybridMultilevel"/>
    <w:tmpl w:val="4A482140"/>
    <w:lvl w:ilvl="0" w:tplc="733095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F5949"/>
    <w:multiLevelType w:val="multilevel"/>
    <w:tmpl w:val="7EDE98EE"/>
    <w:numStyleLink w:val="Style1"/>
  </w:abstractNum>
  <w:abstractNum w:abstractNumId="4" w15:restartNumberingAfterBreak="0">
    <w:nsid w:val="235945C2"/>
    <w:multiLevelType w:val="multilevel"/>
    <w:tmpl w:val="7EDE98EE"/>
    <w:numStyleLink w:val="Style1"/>
  </w:abstractNum>
  <w:abstractNum w:abstractNumId="5" w15:restartNumberingAfterBreak="0">
    <w:nsid w:val="263E540B"/>
    <w:multiLevelType w:val="hybridMultilevel"/>
    <w:tmpl w:val="FA16D9F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903A1A"/>
    <w:multiLevelType w:val="hybridMultilevel"/>
    <w:tmpl w:val="499C3E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6644CE"/>
    <w:multiLevelType w:val="multilevel"/>
    <w:tmpl w:val="978EC5AE"/>
    <w:lvl w:ilvl="0">
      <w:start w:val="1"/>
      <w:numFmt w:val="lowerRoman"/>
      <w:lvlText w:val="%1."/>
      <w:lvlJc w:val="right"/>
      <w:pPr>
        <w:ind w:left="2270" w:hanging="360"/>
      </w:pPr>
    </w:lvl>
    <w:lvl w:ilvl="1">
      <w:start w:val="1"/>
      <w:numFmt w:val="lowerLetter"/>
      <w:lvlText w:val="%2."/>
      <w:lvlJc w:val="left"/>
      <w:pPr>
        <w:ind w:left="2990" w:hanging="360"/>
      </w:pPr>
    </w:lvl>
    <w:lvl w:ilvl="2">
      <w:start w:val="1"/>
      <w:numFmt w:val="lowerRoman"/>
      <w:lvlText w:val="%3."/>
      <w:lvlJc w:val="right"/>
      <w:pPr>
        <w:ind w:left="3710" w:hanging="180"/>
      </w:pPr>
    </w:lvl>
    <w:lvl w:ilvl="3">
      <w:start w:val="1"/>
      <w:numFmt w:val="decimal"/>
      <w:lvlText w:val="%4."/>
      <w:lvlJc w:val="left"/>
      <w:pPr>
        <w:ind w:left="4430" w:hanging="360"/>
      </w:pPr>
    </w:lvl>
    <w:lvl w:ilvl="4">
      <w:start w:val="1"/>
      <w:numFmt w:val="lowerLetter"/>
      <w:lvlText w:val="%5."/>
      <w:lvlJc w:val="left"/>
      <w:pPr>
        <w:ind w:left="5150" w:hanging="360"/>
      </w:pPr>
    </w:lvl>
    <w:lvl w:ilvl="5">
      <w:start w:val="1"/>
      <w:numFmt w:val="lowerRoman"/>
      <w:lvlText w:val="%6."/>
      <w:lvlJc w:val="right"/>
      <w:pPr>
        <w:ind w:left="5870" w:hanging="180"/>
      </w:pPr>
    </w:lvl>
    <w:lvl w:ilvl="6">
      <w:start w:val="1"/>
      <w:numFmt w:val="decimal"/>
      <w:lvlText w:val="%7."/>
      <w:lvlJc w:val="left"/>
      <w:pPr>
        <w:ind w:left="6590" w:hanging="360"/>
      </w:pPr>
    </w:lvl>
    <w:lvl w:ilvl="7">
      <w:start w:val="1"/>
      <w:numFmt w:val="lowerLetter"/>
      <w:lvlText w:val="%8."/>
      <w:lvlJc w:val="left"/>
      <w:pPr>
        <w:ind w:left="7310" w:hanging="360"/>
      </w:pPr>
    </w:lvl>
    <w:lvl w:ilvl="8">
      <w:start w:val="1"/>
      <w:numFmt w:val="lowerRoman"/>
      <w:lvlText w:val="%9."/>
      <w:lvlJc w:val="right"/>
      <w:pPr>
        <w:ind w:left="8030" w:hanging="180"/>
      </w:pPr>
    </w:lvl>
  </w:abstractNum>
  <w:abstractNum w:abstractNumId="8" w15:restartNumberingAfterBreak="0">
    <w:nsid w:val="2A8623DD"/>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D9C008A"/>
    <w:multiLevelType w:val="hybridMultilevel"/>
    <w:tmpl w:val="CB24C1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0C7479"/>
    <w:multiLevelType w:val="hybridMultilevel"/>
    <w:tmpl w:val="2670DB7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7A4487C"/>
    <w:multiLevelType w:val="multilevel"/>
    <w:tmpl w:val="1B0E36E4"/>
    <w:lvl w:ilvl="0">
      <w:start w:val="1"/>
      <w:numFmt w:val="lowerLetter"/>
      <w:pStyle w:val="subsections"/>
      <w:lvlText w:val="%1."/>
      <w:lvlJc w:val="left"/>
      <w:pPr>
        <w:ind w:left="4320" w:hanging="360"/>
      </w:pPr>
    </w:lvl>
    <w:lvl w:ilvl="1">
      <w:start w:val="1"/>
      <w:numFmt w:val="lowerLetter"/>
      <w:lvlText w:val="%2."/>
      <w:lvlJc w:val="left"/>
      <w:pPr>
        <w:ind w:left="5040" w:hanging="360"/>
      </w:pPr>
    </w:lvl>
    <w:lvl w:ilvl="2">
      <w:start w:val="1"/>
      <w:numFmt w:val="lowerRoman"/>
      <w:lvlText w:val="%3."/>
      <w:lvlJc w:val="right"/>
      <w:pPr>
        <w:ind w:left="5760" w:hanging="180"/>
      </w:pPr>
    </w:lvl>
    <w:lvl w:ilvl="3">
      <w:start w:val="1"/>
      <w:numFmt w:val="decimal"/>
      <w:lvlText w:val="%4."/>
      <w:lvlJc w:val="left"/>
      <w:pPr>
        <w:ind w:left="6480" w:hanging="360"/>
      </w:pPr>
    </w:lvl>
    <w:lvl w:ilvl="4">
      <w:start w:val="1"/>
      <w:numFmt w:val="lowerLetter"/>
      <w:lvlText w:val="%5."/>
      <w:lvlJc w:val="left"/>
      <w:pPr>
        <w:ind w:left="7200" w:hanging="360"/>
      </w:pPr>
    </w:lvl>
    <w:lvl w:ilvl="5">
      <w:start w:val="1"/>
      <w:numFmt w:val="lowerRoman"/>
      <w:lvlText w:val="%6."/>
      <w:lvlJc w:val="right"/>
      <w:pPr>
        <w:ind w:left="7920" w:hanging="180"/>
      </w:pPr>
    </w:lvl>
    <w:lvl w:ilvl="6">
      <w:start w:val="1"/>
      <w:numFmt w:val="decimal"/>
      <w:lvlText w:val="%7."/>
      <w:lvlJc w:val="left"/>
      <w:pPr>
        <w:ind w:left="8640" w:hanging="360"/>
      </w:pPr>
    </w:lvl>
    <w:lvl w:ilvl="7">
      <w:start w:val="1"/>
      <w:numFmt w:val="lowerLetter"/>
      <w:lvlText w:val="%8."/>
      <w:lvlJc w:val="left"/>
      <w:pPr>
        <w:ind w:left="9360" w:hanging="360"/>
      </w:pPr>
    </w:lvl>
    <w:lvl w:ilvl="8">
      <w:start w:val="1"/>
      <w:numFmt w:val="lowerRoman"/>
      <w:lvlText w:val="%9."/>
      <w:lvlJc w:val="right"/>
      <w:pPr>
        <w:ind w:left="10080" w:hanging="180"/>
      </w:pPr>
    </w:lvl>
  </w:abstractNum>
  <w:abstractNum w:abstractNumId="12" w15:restartNumberingAfterBreak="0">
    <w:nsid w:val="38CC2F77"/>
    <w:multiLevelType w:val="hybridMultilevel"/>
    <w:tmpl w:val="5B38D80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DEC4022"/>
    <w:multiLevelType w:val="hybridMultilevel"/>
    <w:tmpl w:val="9B383D16"/>
    <w:lvl w:ilvl="0" w:tplc="1D2CA50C">
      <w:start w:val="1"/>
      <w:numFmt w:val="lowerLetter"/>
      <w:lvlText w:val="%1."/>
      <w:lvlJc w:val="left"/>
      <w:pPr>
        <w:ind w:left="1069"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A43B49"/>
    <w:multiLevelType w:val="hybridMultilevel"/>
    <w:tmpl w:val="1A06B6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E62401"/>
    <w:multiLevelType w:val="hybridMultilevel"/>
    <w:tmpl w:val="776E3A20"/>
    <w:lvl w:ilvl="0" w:tplc="0E96D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EC772D"/>
    <w:multiLevelType w:val="hybridMultilevel"/>
    <w:tmpl w:val="F142F954"/>
    <w:lvl w:ilvl="0" w:tplc="79FC13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69628F"/>
    <w:multiLevelType w:val="hybridMultilevel"/>
    <w:tmpl w:val="942A9C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6411DE"/>
    <w:multiLevelType w:val="hybridMultilevel"/>
    <w:tmpl w:val="5720B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A10A62"/>
    <w:multiLevelType w:val="hybridMultilevel"/>
    <w:tmpl w:val="26CE2D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D84232"/>
    <w:multiLevelType w:val="hybridMultilevel"/>
    <w:tmpl w:val="34446264"/>
    <w:lvl w:ilvl="0" w:tplc="0C4AB7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113D0B"/>
    <w:multiLevelType w:val="multilevel"/>
    <w:tmpl w:val="F98ACB9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15:restartNumberingAfterBreak="0">
    <w:nsid w:val="64E02789"/>
    <w:multiLevelType w:val="hybridMultilevel"/>
    <w:tmpl w:val="EABE3A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6F2270"/>
    <w:multiLevelType w:val="hybridMultilevel"/>
    <w:tmpl w:val="9222A8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E6681F"/>
    <w:multiLevelType w:val="hybridMultilevel"/>
    <w:tmpl w:val="8D5C6E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7D3295"/>
    <w:multiLevelType w:val="multilevel"/>
    <w:tmpl w:val="6A3A8BF6"/>
    <w:lvl w:ilvl="0">
      <w:start w:val="1"/>
      <w:numFmt w:val="decimal"/>
      <w:lvlText w:val="e."/>
      <w:lvlJc w:val="left"/>
      <w:pPr>
        <w:ind w:left="43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E620506"/>
    <w:multiLevelType w:val="multilevel"/>
    <w:tmpl w:val="7EDE98EE"/>
    <w:styleLink w:val="Style1"/>
    <w:lvl w:ilvl="0">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00C3EBB"/>
    <w:multiLevelType w:val="hybridMultilevel"/>
    <w:tmpl w:val="9894D0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A8129D"/>
    <w:multiLevelType w:val="hybridMultilevel"/>
    <w:tmpl w:val="8CEA7D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182C06"/>
    <w:multiLevelType w:val="multilevel"/>
    <w:tmpl w:val="890ACA2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71E1101"/>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79227E"/>
    <w:multiLevelType w:val="hybridMultilevel"/>
    <w:tmpl w:val="60DEAC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8B5028E"/>
    <w:multiLevelType w:val="multilevel"/>
    <w:tmpl w:val="481CE3AE"/>
    <w:lvl w:ilvl="0">
      <w:start w:val="1"/>
      <w:numFmt w:val="lowerRoman"/>
      <w:lvlText w:val="%1."/>
      <w:lvlJc w:val="right"/>
      <w:pPr>
        <w:ind w:left="2270" w:hanging="360"/>
      </w:pPr>
    </w:lvl>
    <w:lvl w:ilvl="1">
      <w:start w:val="1"/>
      <w:numFmt w:val="lowerLetter"/>
      <w:lvlText w:val="%2."/>
      <w:lvlJc w:val="left"/>
      <w:pPr>
        <w:ind w:left="2990" w:hanging="360"/>
      </w:pPr>
    </w:lvl>
    <w:lvl w:ilvl="2">
      <w:start w:val="1"/>
      <w:numFmt w:val="lowerRoman"/>
      <w:lvlText w:val="%3."/>
      <w:lvlJc w:val="right"/>
      <w:pPr>
        <w:ind w:left="3710" w:hanging="180"/>
      </w:pPr>
    </w:lvl>
    <w:lvl w:ilvl="3">
      <w:start w:val="1"/>
      <w:numFmt w:val="decimal"/>
      <w:lvlText w:val="%4."/>
      <w:lvlJc w:val="left"/>
      <w:pPr>
        <w:ind w:left="4430" w:hanging="360"/>
      </w:pPr>
    </w:lvl>
    <w:lvl w:ilvl="4">
      <w:start w:val="1"/>
      <w:numFmt w:val="lowerLetter"/>
      <w:lvlText w:val="%5."/>
      <w:lvlJc w:val="left"/>
      <w:pPr>
        <w:ind w:left="5150" w:hanging="360"/>
      </w:pPr>
    </w:lvl>
    <w:lvl w:ilvl="5">
      <w:start w:val="1"/>
      <w:numFmt w:val="lowerRoman"/>
      <w:lvlText w:val="%6."/>
      <w:lvlJc w:val="right"/>
      <w:pPr>
        <w:ind w:left="5870" w:hanging="180"/>
      </w:pPr>
    </w:lvl>
    <w:lvl w:ilvl="6">
      <w:start w:val="1"/>
      <w:numFmt w:val="decimal"/>
      <w:lvlText w:val="%7."/>
      <w:lvlJc w:val="left"/>
      <w:pPr>
        <w:ind w:left="6590" w:hanging="360"/>
      </w:pPr>
    </w:lvl>
    <w:lvl w:ilvl="7">
      <w:start w:val="1"/>
      <w:numFmt w:val="lowerLetter"/>
      <w:lvlText w:val="%8."/>
      <w:lvlJc w:val="left"/>
      <w:pPr>
        <w:ind w:left="7310" w:hanging="360"/>
      </w:pPr>
    </w:lvl>
    <w:lvl w:ilvl="8">
      <w:start w:val="1"/>
      <w:numFmt w:val="lowerRoman"/>
      <w:lvlText w:val="%9."/>
      <w:lvlJc w:val="right"/>
      <w:pPr>
        <w:ind w:left="8030" w:hanging="180"/>
      </w:pPr>
    </w:lvl>
  </w:abstractNum>
  <w:num w:numId="1" w16cid:durableId="1088622919">
    <w:abstractNumId w:val="3"/>
  </w:num>
  <w:num w:numId="2" w16cid:durableId="1918126998">
    <w:abstractNumId w:val="26"/>
  </w:num>
  <w:num w:numId="3" w16cid:durableId="326396901">
    <w:abstractNumId w:val="4"/>
  </w:num>
  <w:num w:numId="4" w16cid:durableId="1570455392">
    <w:abstractNumId w:val="30"/>
  </w:num>
  <w:num w:numId="5" w16cid:durableId="345791268">
    <w:abstractNumId w:val="8"/>
  </w:num>
  <w:num w:numId="6" w16cid:durableId="464003235">
    <w:abstractNumId w:val="2"/>
  </w:num>
  <w:num w:numId="7" w16cid:durableId="1732339320">
    <w:abstractNumId w:val="15"/>
  </w:num>
  <w:num w:numId="8" w16cid:durableId="615142649">
    <w:abstractNumId w:val="20"/>
  </w:num>
  <w:num w:numId="9" w16cid:durableId="740519046">
    <w:abstractNumId w:val="16"/>
  </w:num>
  <w:num w:numId="10" w16cid:durableId="1425497209">
    <w:abstractNumId w:val="7"/>
  </w:num>
  <w:num w:numId="11" w16cid:durableId="1329167878">
    <w:abstractNumId w:val="0"/>
  </w:num>
  <w:num w:numId="12" w16cid:durableId="528489295">
    <w:abstractNumId w:val="11"/>
  </w:num>
  <w:num w:numId="13" w16cid:durableId="1874071820">
    <w:abstractNumId w:val="9"/>
  </w:num>
  <w:num w:numId="14" w16cid:durableId="1608274395">
    <w:abstractNumId w:val="24"/>
  </w:num>
  <w:num w:numId="15" w16cid:durableId="1105150228">
    <w:abstractNumId w:val="1"/>
  </w:num>
  <w:num w:numId="16" w16cid:durableId="1046222985">
    <w:abstractNumId w:val="27"/>
  </w:num>
  <w:num w:numId="17" w16cid:durableId="405499317">
    <w:abstractNumId w:val="31"/>
  </w:num>
  <w:num w:numId="18" w16cid:durableId="411901224">
    <w:abstractNumId w:val="14"/>
  </w:num>
  <w:num w:numId="19" w16cid:durableId="1386026357">
    <w:abstractNumId w:val="19"/>
  </w:num>
  <w:num w:numId="20" w16cid:durableId="718210990">
    <w:abstractNumId w:val="17"/>
  </w:num>
  <w:num w:numId="21" w16cid:durableId="1639646962">
    <w:abstractNumId w:val="25"/>
  </w:num>
  <w:num w:numId="22" w16cid:durableId="233709216">
    <w:abstractNumId w:val="10"/>
  </w:num>
  <w:num w:numId="23" w16cid:durableId="1141726028">
    <w:abstractNumId w:val="32"/>
  </w:num>
  <w:num w:numId="24" w16cid:durableId="1671911767">
    <w:abstractNumId w:val="5"/>
  </w:num>
  <w:num w:numId="25" w16cid:durableId="2101488460">
    <w:abstractNumId w:val="12"/>
  </w:num>
  <w:num w:numId="26" w16cid:durableId="1489787489">
    <w:abstractNumId w:val="23"/>
  </w:num>
  <w:num w:numId="27" w16cid:durableId="1167868017">
    <w:abstractNumId w:val="22"/>
  </w:num>
  <w:num w:numId="28" w16cid:durableId="599140808">
    <w:abstractNumId w:val="6"/>
  </w:num>
  <w:num w:numId="29" w16cid:durableId="1175610471">
    <w:abstractNumId w:val="18"/>
  </w:num>
  <w:num w:numId="30" w16cid:durableId="280649882">
    <w:abstractNumId w:val="28"/>
  </w:num>
  <w:num w:numId="31" w16cid:durableId="1229075481">
    <w:abstractNumId w:val="21"/>
  </w:num>
  <w:num w:numId="32" w16cid:durableId="1225604742">
    <w:abstractNumId w:val="13"/>
  </w:num>
  <w:num w:numId="33" w16cid:durableId="1624075648">
    <w:abstractNumId w:val="29"/>
  </w:num>
  <w:num w:numId="34" w16cid:durableId="11072340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FE4"/>
    <w:rsid w:val="00035402"/>
    <w:rsid w:val="00042682"/>
    <w:rsid w:val="00087C1A"/>
    <w:rsid w:val="000F0A57"/>
    <w:rsid w:val="001048DC"/>
    <w:rsid w:val="00114C05"/>
    <w:rsid w:val="00144E4E"/>
    <w:rsid w:val="001465EF"/>
    <w:rsid w:val="00180750"/>
    <w:rsid w:val="00180A75"/>
    <w:rsid w:val="001B326F"/>
    <w:rsid w:val="001B3715"/>
    <w:rsid w:val="002052DF"/>
    <w:rsid w:val="002118E9"/>
    <w:rsid w:val="002155EC"/>
    <w:rsid w:val="00244817"/>
    <w:rsid w:val="002718EB"/>
    <w:rsid w:val="0028226E"/>
    <w:rsid w:val="002C1A43"/>
    <w:rsid w:val="002D295E"/>
    <w:rsid w:val="002D3D9D"/>
    <w:rsid w:val="002D5EA3"/>
    <w:rsid w:val="003352C5"/>
    <w:rsid w:val="003B6FB3"/>
    <w:rsid w:val="003D5C91"/>
    <w:rsid w:val="0040384E"/>
    <w:rsid w:val="00405353"/>
    <w:rsid w:val="0041468B"/>
    <w:rsid w:val="00451DBE"/>
    <w:rsid w:val="00496378"/>
    <w:rsid w:val="004B33AD"/>
    <w:rsid w:val="004C2CF6"/>
    <w:rsid w:val="005010B1"/>
    <w:rsid w:val="00556CB7"/>
    <w:rsid w:val="00590D3A"/>
    <w:rsid w:val="005D0055"/>
    <w:rsid w:val="005D5D21"/>
    <w:rsid w:val="005F6647"/>
    <w:rsid w:val="0060405B"/>
    <w:rsid w:val="006057DB"/>
    <w:rsid w:val="00613CF7"/>
    <w:rsid w:val="00655139"/>
    <w:rsid w:val="00657818"/>
    <w:rsid w:val="006C578C"/>
    <w:rsid w:val="006C7FE0"/>
    <w:rsid w:val="006F4CF7"/>
    <w:rsid w:val="006F65A1"/>
    <w:rsid w:val="00700A45"/>
    <w:rsid w:val="00732921"/>
    <w:rsid w:val="00734333"/>
    <w:rsid w:val="007816D4"/>
    <w:rsid w:val="007A73AE"/>
    <w:rsid w:val="00844972"/>
    <w:rsid w:val="00875779"/>
    <w:rsid w:val="008C6E37"/>
    <w:rsid w:val="008D1675"/>
    <w:rsid w:val="00972D72"/>
    <w:rsid w:val="009B27AF"/>
    <w:rsid w:val="009C0BB6"/>
    <w:rsid w:val="009C21D0"/>
    <w:rsid w:val="009F5E17"/>
    <w:rsid w:val="00A0464E"/>
    <w:rsid w:val="00A14E60"/>
    <w:rsid w:val="00A36FFB"/>
    <w:rsid w:val="00A37761"/>
    <w:rsid w:val="00A44706"/>
    <w:rsid w:val="00A74A81"/>
    <w:rsid w:val="00A91405"/>
    <w:rsid w:val="00A972BD"/>
    <w:rsid w:val="00AA3C6D"/>
    <w:rsid w:val="00B859CD"/>
    <w:rsid w:val="00BE071E"/>
    <w:rsid w:val="00C35603"/>
    <w:rsid w:val="00C52DB5"/>
    <w:rsid w:val="00C56F41"/>
    <w:rsid w:val="00C70BBE"/>
    <w:rsid w:val="00C910EC"/>
    <w:rsid w:val="00CA5260"/>
    <w:rsid w:val="00CE3CFF"/>
    <w:rsid w:val="00D42E72"/>
    <w:rsid w:val="00D4372E"/>
    <w:rsid w:val="00D70B92"/>
    <w:rsid w:val="00D8081D"/>
    <w:rsid w:val="00D92B94"/>
    <w:rsid w:val="00DB0A79"/>
    <w:rsid w:val="00DB7728"/>
    <w:rsid w:val="00DE0363"/>
    <w:rsid w:val="00E00AD5"/>
    <w:rsid w:val="00E04FA0"/>
    <w:rsid w:val="00E2152B"/>
    <w:rsid w:val="00E32F04"/>
    <w:rsid w:val="00E67042"/>
    <w:rsid w:val="00EB42B1"/>
    <w:rsid w:val="00EC2CEE"/>
    <w:rsid w:val="00ED6810"/>
    <w:rsid w:val="00EE58F6"/>
    <w:rsid w:val="00F842D1"/>
    <w:rsid w:val="00F9161B"/>
    <w:rsid w:val="00F95D77"/>
    <w:rsid w:val="00FC5FE4"/>
    <w:rsid w:val="00FF42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4C5FE"/>
  <w15:chartTrackingRefBased/>
  <w15:docId w15:val="{E67EF709-254D-4BB8-9BC4-7168B961D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78C"/>
    <w:pPr>
      <w:spacing w:after="120" w:line="240" w:lineRule="auto"/>
    </w:pPr>
    <w:rPr>
      <w:rFonts w:ascii="Times New Roman" w:hAnsi="Times New Roman"/>
      <w:sz w:val="24"/>
    </w:rPr>
  </w:style>
  <w:style w:type="paragraph" w:styleId="Heading1">
    <w:name w:val="heading 1"/>
    <w:basedOn w:val="Normal"/>
    <w:next w:val="Normal"/>
    <w:link w:val="Heading1Char"/>
    <w:qFormat/>
    <w:rsid w:val="00A14E60"/>
    <w:pPr>
      <w:keepNext/>
      <w:keepLines/>
      <w:spacing w:before="240" w:after="0"/>
      <w:outlineLvl w:val="0"/>
    </w:pPr>
    <w:rPr>
      <w:rFonts w:eastAsiaTheme="majorEastAsia" w:cstheme="majorBidi"/>
      <w:color w:val="000000" w:themeColor="text1"/>
      <w:sz w:val="32"/>
      <w:szCs w:val="32"/>
    </w:rPr>
  </w:style>
  <w:style w:type="paragraph" w:styleId="Heading2">
    <w:name w:val="heading 2"/>
    <w:basedOn w:val="Normal"/>
    <w:next w:val="Normal"/>
    <w:link w:val="Heading2Char"/>
    <w:unhideWhenUsed/>
    <w:qFormat/>
    <w:rsid w:val="007329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qFormat/>
    <w:rsid w:val="004B33AD"/>
    <w:pPr>
      <w:spacing w:after="0"/>
      <w:ind w:left="3240" w:hanging="180"/>
      <w:outlineLvl w:val="2"/>
    </w:pPr>
    <w:rPr>
      <w:rFonts w:eastAsia="Times New Roman" w:cs="Times New Roman"/>
      <w:sz w:val="22"/>
      <w:lang w:eastAsia="en-CA"/>
    </w:rPr>
  </w:style>
  <w:style w:type="paragraph" w:styleId="Heading4">
    <w:name w:val="heading 4"/>
    <w:basedOn w:val="Normal"/>
    <w:link w:val="Heading4Char"/>
    <w:qFormat/>
    <w:rsid w:val="004B33AD"/>
    <w:pPr>
      <w:spacing w:after="0"/>
      <w:ind w:left="3960" w:hanging="360"/>
      <w:outlineLvl w:val="3"/>
    </w:pPr>
    <w:rPr>
      <w:rFonts w:eastAsia="Times New Roman" w:cs="Times New Roman"/>
      <w:sz w:val="22"/>
      <w:lang w:eastAsia="en-CA"/>
    </w:rPr>
  </w:style>
  <w:style w:type="paragraph" w:styleId="Heading5">
    <w:name w:val="heading 5"/>
    <w:basedOn w:val="Normal"/>
    <w:link w:val="Heading5Char"/>
    <w:qFormat/>
    <w:rsid w:val="004B33AD"/>
    <w:pPr>
      <w:spacing w:after="0"/>
      <w:ind w:left="4680" w:hanging="360"/>
      <w:outlineLvl w:val="4"/>
    </w:pPr>
    <w:rPr>
      <w:rFonts w:eastAsia="Times New Roman" w:cs="Times New Roman"/>
      <w:sz w:val="22"/>
      <w:lang w:eastAsia="en-CA"/>
    </w:rPr>
  </w:style>
  <w:style w:type="paragraph" w:styleId="Heading6">
    <w:name w:val="heading 6"/>
    <w:basedOn w:val="Normal"/>
    <w:link w:val="Heading6Char"/>
    <w:qFormat/>
    <w:rsid w:val="004B33AD"/>
    <w:pPr>
      <w:spacing w:after="0"/>
      <w:ind w:left="5400" w:hanging="180"/>
      <w:outlineLvl w:val="5"/>
    </w:pPr>
    <w:rPr>
      <w:rFonts w:eastAsia="Times New Roman" w:cs="Times New Roman"/>
      <w:sz w:val="22"/>
      <w:lang w:eastAsia="en-CA"/>
    </w:rPr>
  </w:style>
  <w:style w:type="paragraph" w:styleId="Heading7">
    <w:name w:val="heading 7"/>
    <w:basedOn w:val="Normal"/>
    <w:next w:val="Heading1"/>
    <w:link w:val="Heading7Char"/>
    <w:qFormat/>
    <w:rsid w:val="004B33AD"/>
    <w:pPr>
      <w:spacing w:after="0"/>
      <w:ind w:left="6120"/>
      <w:outlineLvl w:val="6"/>
    </w:pPr>
    <w:rPr>
      <w:rFonts w:eastAsia="Times New Roman" w:cs="Times New Roman"/>
      <w:sz w:val="22"/>
      <w:lang w:eastAsia="en-CA"/>
    </w:rPr>
  </w:style>
  <w:style w:type="paragraph" w:styleId="Heading8">
    <w:name w:val="heading 8"/>
    <w:basedOn w:val="Normal"/>
    <w:next w:val="Normal"/>
    <w:link w:val="Heading8Char"/>
    <w:qFormat/>
    <w:rsid w:val="004B33AD"/>
    <w:pPr>
      <w:spacing w:after="0"/>
      <w:ind w:left="6840"/>
      <w:outlineLvl w:val="7"/>
    </w:pPr>
    <w:rPr>
      <w:rFonts w:eastAsia="Times New Roman" w:cs="Times New Roman"/>
      <w:sz w:val="22"/>
      <w:lang w:eastAsia="en-CA"/>
    </w:rPr>
  </w:style>
  <w:style w:type="paragraph" w:styleId="Heading9">
    <w:name w:val="heading 9"/>
    <w:basedOn w:val="Normal"/>
    <w:next w:val="Normal"/>
    <w:link w:val="Heading9Char"/>
    <w:qFormat/>
    <w:rsid w:val="004B33AD"/>
    <w:pPr>
      <w:spacing w:after="0"/>
      <w:ind w:left="7560"/>
      <w:outlineLvl w:val="8"/>
    </w:pPr>
    <w:rPr>
      <w:rFonts w:eastAsia="Times New Roman" w:cs="Times New Roman"/>
      <w:sz w:val="22"/>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FE4"/>
    <w:pPr>
      <w:tabs>
        <w:tab w:val="center" w:pos="4680"/>
        <w:tab w:val="right" w:pos="9360"/>
      </w:tabs>
      <w:spacing w:after="0"/>
    </w:pPr>
  </w:style>
  <w:style w:type="character" w:customStyle="1" w:styleId="HeaderChar">
    <w:name w:val="Header Char"/>
    <w:basedOn w:val="DefaultParagraphFont"/>
    <w:link w:val="Header"/>
    <w:uiPriority w:val="99"/>
    <w:rsid w:val="00FC5FE4"/>
  </w:style>
  <w:style w:type="paragraph" w:styleId="Footer">
    <w:name w:val="footer"/>
    <w:basedOn w:val="Normal"/>
    <w:link w:val="FooterChar"/>
    <w:uiPriority w:val="99"/>
    <w:unhideWhenUsed/>
    <w:rsid w:val="00FC5FE4"/>
    <w:pPr>
      <w:tabs>
        <w:tab w:val="center" w:pos="4680"/>
        <w:tab w:val="right" w:pos="9360"/>
      </w:tabs>
      <w:spacing w:after="0"/>
    </w:pPr>
  </w:style>
  <w:style w:type="character" w:customStyle="1" w:styleId="FooterChar">
    <w:name w:val="Footer Char"/>
    <w:basedOn w:val="DefaultParagraphFont"/>
    <w:link w:val="Footer"/>
    <w:uiPriority w:val="99"/>
    <w:rsid w:val="00FC5FE4"/>
  </w:style>
  <w:style w:type="character" w:customStyle="1" w:styleId="Heading1Char">
    <w:name w:val="Heading 1 Char"/>
    <w:basedOn w:val="DefaultParagraphFont"/>
    <w:link w:val="Heading1"/>
    <w:uiPriority w:val="9"/>
    <w:rsid w:val="00A14E60"/>
    <w:rPr>
      <w:rFonts w:ascii="Times New Roman" w:eastAsiaTheme="majorEastAsia" w:hAnsi="Times New Roman" w:cstheme="majorBidi"/>
      <w:color w:val="000000" w:themeColor="text1"/>
      <w:sz w:val="32"/>
      <w:szCs w:val="32"/>
    </w:rPr>
  </w:style>
  <w:style w:type="paragraph" w:styleId="TOCHeading">
    <w:name w:val="TOC Heading"/>
    <w:basedOn w:val="Heading1"/>
    <w:next w:val="Normal"/>
    <w:uiPriority w:val="39"/>
    <w:unhideWhenUsed/>
    <w:qFormat/>
    <w:rsid w:val="00FC5FE4"/>
    <w:pPr>
      <w:outlineLvl w:val="9"/>
    </w:pPr>
  </w:style>
  <w:style w:type="paragraph" w:styleId="TOC1">
    <w:name w:val="toc 1"/>
    <w:basedOn w:val="Normal"/>
    <w:next w:val="Normal"/>
    <w:autoRedefine/>
    <w:uiPriority w:val="39"/>
    <w:unhideWhenUsed/>
    <w:rsid w:val="00FC5FE4"/>
    <w:pPr>
      <w:spacing w:after="100"/>
    </w:pPr>
  </w:style>
  <w:style w:type="character" w:styleId="Hyperlink">
    <w:name w:val="Hyperlink"/>
    <w:basedOn w:val="DefaultParagraphFont"/>
    <w:uiPriority w:val="99"/>
    <w:unhideWhenUsed/>
    <w:rsid w:val="00FC5FE4"/>
    <w:rPr>
      <w:color w:val="0563C1" w:themeColor="hyperlink"/>
      <w:u w:val="single"/>
    </w:rPr>
  </w:style>
  <w:style w:type="paragraph" w:styleId="Subtitle">
    <w:name w:val="Subtitle"/>
    <w:basedOn w:val="Normal"/>
    <w:next w:val="Normal"/>
    <w:link w:val="SubtitleChar"/>
    <w:uiPriority w:val="11"/>
    <w:qFormat/>
    <w:rsid w:val="00FC5FE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C5FE4"/>
    <w:rPr>
      <w:rFonts w:eastAsiaTheme="minorEastAsia"/>
      <w:color w:val="5A5A5A" w:themeColor="text1" w:themeTint="A5"/>
      <w:spacing w:val="15"/>
    </w:rPr>
  </w:style>
  <w:style w:type="numbering" w:customStyle="1" w:styleId="Style1">
    <w:name w:val="Style1"/>
    <w:uiPriority w:val="99"/>
    <w:rsid w:val="00180750"/>
    <w:pPr>
      <w:numPr>
        <w:numId w:val="2"/>
      </w:numPr>
    </w:pPr>
  </w:style>
  <w:style w:type="paragraph" w:styleId="ListParagraph">
    <w:name w:val="List Paragraph"/>
    <w:basedOn w:val="Normal"/>
    <w:uiPriority w:val="34"/>
    <w:qFormat/>
    <w:rsid w:val="00180750"/>
    <w:pPr>
      <w:ind w:left="720"/>
      <w:contextualSpacing/>
    </w:pPr>
  </w:style>
  <w:style w:type="table" w:styleId="TableGrid">
    <w:name w:val="Table Grid"/>
    <w:basedOn w:val="TableNormal"/>
    <w:uiPriority w:val="39"/>
    <w:rsid w:val="00A14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4E60"/>
    <w:pPr>
      <w:spacing w:after="0" w:line="240" w:lineRule="auto"/>
    </w:pPr>
    <w:rPr>
      <w:rFonts w:ascii="Times New Roman" w:hAnsi="Times New Roman"/>
      <w:sz w:val="24"/>
    </w:rPr>
  </w:style>
  <w:style w:type="table" w:styleId="TableGridLight">
    <w:name w:val="Grid Table Light"/>
    <w:basedOn w:val="TableNormal"/>
    <w:uiPriority w:val="40"/>
    <w:rsid w:val="0041468B"/>
    <w:pPr>
      <w:spacing w:after="0" w:line="240" w:lineRule="auto"/>
    </w:pPr>
    <w:rPr>
      <w:rFonts w:ascii="Times New Roman" w:hAnsi="Times New Roman"/>
      <w:sz w:val="24"/>
    </w:rPr>
    <w:tblPr/>
  </w:style>
  <w:style w:type="table" w:styleId="PlainTable1">
    <w:name w:val="Plain Table 1"/>
    <w:basedOn w:val="TableNormal"/>
    <w:uiPriority w:val="41"/>
    <w:rsid w:val="004146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41468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1468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Text">
    <w:name w:val="annotation text"/>
    <w:basedOn w:val="Normal"/>
    <w:link w:val="CommentTextChar"/>
    <w:uiPriority w:val="99"/>
    <w:unhideWhenUsed/>
    <w:rsid w:val="00A44706"/>
    <w:rPr>
      <w:sz w:val="20"/>
      <w:szCs w:val="20"/>
    </w:rPr>
  </w:style>
  <w:style w:type="character" w:customStyle="1" w:styleId="CommentTextChar">
    <w:name w:val="Comment Text Char"/>
    <w:basedOn w:val="DefaultParagraphFont"/>
    <w:link w:val="CommentText"/>
    <w:uiPriority w:val="99"/>
    <w:rsid w:val="00A44706"/>
    <w:rPr>
      <w:rFonts w:ascii="Times New Roman" w:hAnsi="Times New Roman"/>
      <w:sz w:val="20"/>
      <w:szCs w:val="20"/>
    </w:rPr>
  </w:style>
  <w:style w:type="character" w:styleId="CommentReference">
    <w:name w:val="annotation reference"/>
    <w:uiPriority w:val="99"/>
    <w:rsid w:val="00A44706"/>
    <w:rPr>
      <w:sz w:val="16"/>
      <w:szCs w:val="16"/>
    </w:rPr>
  </w:style>
  <w:style w:type="paragraph" w:customStyle="1" w:styleId="subsections">
    <w:name w:val="subsections"/>
    <w:basedOn w:val="Normal"/>
    <w:rsid w:val="00A44706"/>
    <w:pPr>
      <w:numPr>
        <w:numId w:val="12"/>
      </w:numPr>
      <w:textAlignment w:val="baseline"/>
    </w:pPr>
    <w:rPr>
      <w:rFonts w:ascii="Calibri" w:eastAsia="Times New Roman" w:hAnsi="Calibri" w:cs="Times New Roman"/>
      <w:color w:val="000000"/>
      <w:sz w:val="22"/>
      <w:lang w:eastAsia="x-none"/>
    </w:rPr>
  </w:style>
  <w:style w:type="character" w:customStyle="1" w:styleId="Heading2Char">
    <w:name w:val="Heading 2 Char"/>
    <w:basedOn w:val="DefaultParagraphFont"/>
    <w:link w:val="Heading2"/>
    <w:uiPriority w:val="9"/>
    <w:rsid w:val="0073292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4B33AD"/>
    <w:rPr>
      <w:rFonts w:ascii="Times New Roman" w:eastAsia="Times New Roman" w:hAnsi="Times New Roman" w:cs="Times New Roman"/>
      <w:lang w:eastAsia="en-CA"/>
    </w:rPr>
  </w:style>
  <w:style w:type="character" w:customStyle="1" w:styleId="Heading4Char">
    <w:name w:val="Heading 4 Char"/>
    <w:basedOn w:val="DefaultParagraphFont"/>
    <w:link w:val="Heading4"/>
    <w:rsid w:val="004B33AD"/>
    <w:rPr>
      <w:rFonts w:ascii="Times New Roman" w:eastAsia="Times New Roman" w:hAnsi="Times New Roman" w:cs="Times New Roman"/>
      <w:lang w:eastAsia="en-CA"/>
    </w:rPr>
  </w:style>
  <w:style w:type="character" w:customStyle="1" w:styleId="Heading5Char">
    <w:name w:val="Heading 5 Char"/>
    <w:basedOn w:val="DefaultParagraphFont"/>
    <w:link w:val="Heading5"/>
    <w:rsid w:val="004B33AD"/>
    <w:rPr>
      <w:rFonts w:ascii="Times New Roman" w:eastAsia="Times New Roman" w:hAnsi="Times New Roman" w:cs="Times New Roman"/>
      <w:lang w:eastAsia="en-CA"/>
    </w:rPr>
  </w:style>
  <w:style w:type="character" w:customStyle="1" w:styleId="Heading6Char">
    <w:name w:val="Heading 6 Char"/>
    <w:basedOn w:val="DefaultParagraphFont"/>
    <w:link w:val="Heading6"/>
    <w:rsid w:val="004B33AD"/>
    <w:rPr>
      <w:rFonts w:ascii="Times New Roman" w:eastAsia="Times New Roman" w:hAnsi="Times New Roman" w:cs="Times New Roman"/>
      <w:lang w:eastAsia="en-CA"/>
    </w:rPr>
  </w:style>
  <w:style w:type="character" w:customStyle="1" w:styleId="Heading7Char">
    <w:name w:val="Heading 7 Char"/>
    <w:basedOn w:val="DefaultParagraphFont"/>
    <w:link w:val="Heading7"/>
    <w:rsid w:val="004B33AD"/>
    <w:rPr>
      <w:rFonts w:ascii="Times New Roman" w:eastAsia="Times New Roman" w:hAnsi="Times New Roman" w:cs="Times New Roman"/>
      <w:lang w:eastAsia="en-CA"/>
    </w:rPr>
  </w:style>
  <w:style w:type="character" w:customStyle="1" w:styleId="Heading8Char">
    <w:name w:val="Heading 8 Char"/>
    <w:basedOn w:val="DefaultParagraphFont"/>
    <w:link w:val="Heading8"/>
    <w:rsid w:val="004B33AD"/>
    <w:rPr>
      <w:rFonts w:ascii="Times New Roman" w:eastAsia="Times New Roman" w:hAnsi="Times New Roman" w:cs="Times New Roman"/>
      <w:lang w:eastAsia="en-CA"/>
    </w:rPr>
  </w:style>
  <w:style w:type="character" w:customStyle="1" w:styleId="Heading9Char">
    <w:name w:val="Heading 9 Char"/>
    <w:basedOn w:val="DefaultParagraphFont"/>
    <w:link w:val="Heading9"/>
    <w:rsid w:val="004B33AD"/>
    <w:rPr>
      <w:rFonts w:ascii="Times New Roman" w:eastAsia="Times New Roman" w:hAnsi="Times New Roman" w:cs="Times New Roman"/>
      <w:lang w:eastAsia="en-CA"/>
    </w:rPr>
  </w:style>
  <w:style w:type="character" w:customStyle="1" w:styleId="UnresolvedMention1">
    <w:name w:val="Unresolved Mention1"/>
    <w:basedOn w:val="DefaultParagraphFont"/>
    <w:uiPriority w:val="99"/>
    <w:semiHidden/>
    <w:unhideWhenUsed/>
    <w:rsid w:val="00CE3CFF"/>
    <w:rPr>
      <w:color w:val="605E5C"/>
      <w:shd w:val="clear" w:color="auto" w:fill="E1DFDD"/>
    </w:rPr>
  </w:style>
  <w:style w:type="character" w:styleId="FollowedHyperlink">
    <w:name w:val="FollowedHyperlink"/>
    <w:basedOn w:val="DefaultParagraphFont"/>
    <w:uiPriority w:val="99"/>
    <w:semiHidden/>
    <w:unhideWhenUsed/>
    <w:rsid w:val="00655139"/>
    <w:rPr>
      <w:color w:val="954F72" w:themeColor="followedHyperlink"/>
      <w:u w:val="single"/>
    </w:rPr>
  </w:style>
  <w:style w:type="paragraph" w:styleId="BalloonText">
    <w:name w:val="Balloon Text"/>
    <w:basedOn w:val="Normal"/>
    <w:link w:val="BalloonTextChar"/>
    <w:uiPriority w:val="99"/>
    <w:semiHidden/>
    <w:unhideWhenUsed/>
    <w:rsid w:val="001B37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715"/>
    <w:rPr>
      <w:rFonts w:ascii="Segoe UI" w:hAnsi="Segoe UI" w:cs="Segoe UI"/>
      <w:sz w:val="18"/>
      <w:szCs w:val="18"/>
    </w:rPr>
  </w:style>
  <w:style w:type="character" w:styleId="UnresolvedMention">
    <w:name w:val="Unresolved Mention"/>
    <w:basedOn w:val="DefaultParagraphFont"/>
    <w:uiPriority w:val="99"/>
    <w:semiHidden/>
    <w:unhideWhenUsed/>
    <w:rsid w:val="003352C5"/>
    <w:rPr>
      <w:color w:val="605E5C"/>
      <w:shd w:val="clear" w:color="auto" w:fill="E1DFDD"/>
    </w:rPr>
  </w:style>
  <w:style w:type="paragraph" w:styleId="Revision">
    <w:name w:val="Revision"/>
    <w:hidden/>
    <w:uiPriority w:val="99"/>
    <w:semiHidden/>
    <w:rsid w:val="002718EB"/>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413378">
      <w:bodyDiv w:val="1"/>
      <w:marLeft w:val="0"/>
      <w:marRight w:val="0"/>
      <w:marTop w:val="0"/>
      <w:marBottom w:val="0"/>
      <w:divBdr>
        <w:top w:val="none" w:sz="0" w:space="0" w:color="auto"/>
        <w:left w:val="none" w:sz="0" w:space="0" w:color="auto"/>
        <w:bottom w:val="none" w:sz="0" w:space="0" w:color="auto"/>
        <w:right w:val="none" w:sz="0" w:space="0" w:color="auto"/>
      </w:divBdr>
    </w:div>
    <w:div w:id="206648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nada.ca/fr/ministere-defense-nationale/services/avantages-militaires/conflits-inconduite/inconduite-sexuelle/ordonnances-politiques-directives/arbre-decisionnel.html" TargetMode="External"/><Relationship Id="rId18" Type="http://schemas.openxmlformats.org/officeDocument/2006/relationships/hyperlink" Target="https://www.tbs-sct.canada.ca/agreements-conventions/index-fra.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canada.ca/fr/ministere-defense-nationale/services/avantages-militaires/conflits-inconduite/inconduite-sexuelle/ordonnances-politiques-directives/arbre-decisionnel.html" TargetMode="External"/><Relationship Id="rId17" Type="http://schemas.openxmlformats.org/officeDocument/2006/relationships/hyperlink" Target="https://127gc-my.sharepoint.com/personal/daphne_perron_tpsgc-pwgsc_gc_ca/Documents/Documents/WORK/&#192;%20propos&#160;:%20vid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anada.ca/fr/ministere-defense-nationale/services/avantages-militaires/conflits-inconduite/inconduite-sexuelle/materiel-formation-pedagogique/spectre-inconduite-sexuelle.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canada.ca/fr/ministere-defense-nationale/services/avantages-militaires/sante-soutien/intervention-inconduite-sexuelle.html"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nada.ca/fr/ministere-defense-nationale/services/avantages-militaires/conflits-inconduite/inconduite-sexuelle/ordonnances-politiques-directives/arbre-decisionnel.html"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243F4F63279044BAAD928A4CB65DC4E" ma:contentTypeVersion="1" ma:contentTypeDescription="Create a new document." ma:contentTypeScope="" ma:versionID="1f1ac93f5f55c84c1d10d9f86722221b">
  <xsd:schema xmlns:xsd="http://www.w3.org/2001/XMLSchema" xmlns:xs="http://www.w3.org/2001/XMLSchema" xmlns:p="http://schemas.microsoft.com/office/2006/metadata/properties" xmlns:ns2="66b22653-7dbf-4ece-89aa-52c5283950ff" xmlns:ns3="69c5a74e-eaf6-485a-8fcb-1058cb1c5587" targetNamespace="http://schemas.microsoft.com/office/2006/metadata/properties" ma:root="true" ma:fieldsID="ab10ce4ff4841a5e90612aa5895aaded" ns2:_="" ns3:_="">
    <xsd:import namespace="66b22653-7dbf-4ece-89aa-52c5283950ff"/>
    <xsd:import namespace="69c5a74e-eaf6-485a-8fcb-1058cb1c5587"/>
    <xsd:element name="properties">
      <xsd:complexType>
        <xsd:sequence>
          <xsd:element name="documentManagement">
            <xsd:complexType>
              <xsd:all>
                <xsd:element ref="ns2:_dlc_DocId" minOccurs="0"/>
                <xsd:element ref="ns2:_dlc_DocIdUrl" minOccurs="0"/>
                <xsd:element ref="ns2:_dlc_DocIdPersistId"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22653-7dbf-4ece-89aa-52c5283950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c5a74e-eaf6-485a-8fcb-1058cb1c5587" elementFormDefault="qualified">
    <xsd:import namespace="http://schemas.microsoft.com/office/2006/documentManagement/types"/>
    <xsd:import namespace="http://schemas.microsoft.com/office/infopath/2007/PartnerControls"/>
    <xsd:element name="Year" ma:index="11" nillable="true" ma:displayName="Year" ma:format="Dropdown" ma:internalName="Year">
      <xsd:simpleType>
        <xsd:restriction base="dms:Choice">
          <xsd:enumeration value="2021"/>
          <xsd:enumeration value="2022"/>
          <xsd:enumeration value="2023"/>
          <xsd:enumeration value="2024"/>
          <xsd:enumeration value="202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Year xmlns="69c5a74e-eaf6-485a-8fcb-1058cb1c5587" xsi:nil="true"/>
  </documentManagement>
</p:properties>
</file>

<file path=customXml/itemProps1.xml><?xml version="1.0" encoding="utf-8"?>
<ds:datastoreItem xmlns:ds="http://schemas.openxmlformats.org/officeDocument/2006/customXml" ds:itemID="{B08B9DE5-D12C-43AC-9B56-0DF7E6995017}">
  <ds:schemaRefs>
    <ds:schemaRef ds:uri="http://schemas.microsoft.com/sharepoint/events"/>
  </ds:schemaRefs>
</ds:datastoreItem>
</file>

<file path=customXml/itemProps2.xml><?xml version="1.0" encoding="utf-8"?>
<ds:datastoreItem xmlns:ds="http://schemas.openxmlformats.org/officeDocument/2006/customXml" ds:itemID="{0F44C396-DE36-4BC5-9966-85090EAAB708}">
  <ds:schemaRefs>
    <ds:schemaRef ds:uri="http://schemas.microsoft.com/sharepoint/v3/contenttype/forms"/>
  </ds:schemaRefs>
</ds:datastoreItem>
</file>

<file path=customXml/itemProps3.xml><?xml version="1.0" encoding="utf-8"?>
<ds:datastoreItem xmlns:ds="http://schemas.openxmlformats.org/officeDocument/2006/customXml" ds:itemID="{74467536-ADA1-4827-89D9-8EE3357D74D3}">
  <ds:schemaRefs>
    <ds:schemaRef ds:uri="http://schemas.openxmlformats.org/officeDocument/2006/bibliography"/>
  </ds:schemaRefs>
</ds:datastoreItem>
</file>

<file path=customXml/itemProps4.xml><?xml version="1.0" encoding="utf-8"?>
<ds:datastoreItem xmlns:ds="http://schemas.openxmlformats.org/officeDocument/2006/customXml" ds:itemID="{56748477-EBFE-4F67-9596-AAB4CEAF4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22653-7dbf-4ece-89aa-52c5283950ff"/>
    <ds:schemaRef ds:uri="69c5a74e-eaf6-485a-8fcb-1058cb1c5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86A838-C46A-417C-84A4-3A9A25D9D5C8}">
  <ds:schemaRefs>
    <ds:schemaRef ds:uri="http://schemas.microsoft.com/office/2006/metadata/properties"/>
    <ds:schemaRef ds:uri="http://schemas.microsoft.com/office/infopath/2007/PartnerControls"/>
    <ds:schemaRef ds:uri="69c5a74e-eaf6-485a-8fcb-1058cb1c558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5336</Words>
  <Characters>30581</Characters>
  <Application>Microsoft Office Word</Application>
  <DocSecurity>0</DocSecurity>
  <Lines>944</Lines>
  <Paragraphs>259</Paragraphs>
  <ScaleCrop>false</ScaleCrop>
  <HeadingPairs>
    <vt:vector size="2" baseType="variant">
      <vt:variant>
        <vt:lpstr>Title</vt:lpstr>
      </vt:variant>
      <vt:variant>
        <vt:i4>1</vt:i4>
      </vt:variant>
    </vt:vector>
  </HeadingPairs>
  <TitlesOfParts>
    <vt:vector size="1" baseType="lpstr">
      <vt:lpstr/>
    </vt:vector>
  </TitlesOfParts>
  <Company>RMCC-CMRC</Company>
  <LinksUpToDate>false</LinksUpToDate>
  <CharactersWithSpaces>35712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Miklas</dc:creator>
  <cp:keywords/>
  <dc:description/>
  <cp:lastModifiedBy>Duguay J@RMC Corp Svcs Wg@Defence365</cp:lastModifiedBy>
  <cp:revision>2</cp:revision>
  <dcterms:created xsi:type="dcterms:W3CDTF">2025-06-27T17:33:00Z</dcterms:created>
  <dcterms:modified xsi:type="dcterms:W3CDTF">2025-06-27T17:33:00Z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0x0101001243F4F63279044BAAD928A4CB65DC4E</vt:lpwstr>
  </property>
  <property fmtid="{D5CDD505-2E9C-101B-9397-08002B2CF9AE}" pid="3" name="MSIP_Label_3e33c1f9-43dd-4e5b-bd09-632e008e075a_Enabled">
    <vt:lpwstr>true</vt:lpwstr>
  </property>
  <property fmtid="{D5CDD505-2E9C-101B-9397-08002B2CF9AE}" pid="4" name="MSIP_Label_3e33c1f9-43dd-4e5b-bd09-632e008e075a_SetDate">
    <vt:lpwstr>2025-06-13T13:04:24Z</vt:lpwstr>
  </property>
  <property fmtid="{D5CDD505-2E9C-101B-9397-08002B2CF9AE}" pid="5" name="MSIP_Label_3e33c1f9-43dd-4e5b-bd09-632e008e075a_Method">
    <vt:lpwstr>Standard</vt:lpwstr>
  </property>
  <property fmtid="{D5CDD505-2E9C-101B-9397-08002B2CF9AE}" pid="6" name="MSIP_Label_3e33c1f9-43dd-4e5b-bd09-632e008e075a_Name">
    <vt:lpwstr>UNCLASSIFIED INTERNAL</vt:lpwstr>
  </property>
  <property fmtid="{D5CDD505-2E9C-101B-9397-08002B2CF9AE}" pid="7" name="MSIP_Label_3e33c1f9-43dd-4e5b-bd09-632e008e075a_SiteId">
    <vt:lpwstr>325b4494-1587-40d5-bb31-8b660b7f1038</vt:lpwstr>
  </property>
  <property fmtid="{D5CDD505-2E9C-101B-9397-08002B2CF9AE}" pid="8" name="MSIP_Label_3e33c1f9-43dd-4e5b-bd09-632e008e075a_ActionId">
    <vt:lpwstr>42bf0299-240b-401b-814f-5d8c5026fde8</vt:lpwstr>
  </property>
  <property fmtid="{D5CDD505-2E9C-101B-9397-08002B2CF9AE}" pid="9" name="MSIP_Label_3e33c1f9-43dd-4e5b-bd09-632e008e075a_ContentBits">
    <vt:lpwstr>0</vt:lpwstr>
  </property>
  <property fmtid="{D5CDD505-2E9C-101B-9397-08002B2CF9AE}" pid="10" name="MSIP_Label_3e33c1f9-43dd-4e5b-bd09-632e008e075a_Tag">
    <vt:lpwstr>10, 3, 0, 1</vt:lpwstr>
  </property>
  <property fmtid="{D5CDD505-2E9C-101B-9397-08002B2CF9AE}" pid="11" name="MSIP_Label_834ed4f5-eae4-40c7-82be-b1cdf720a1b9_Enabled">
    <vt:lpwstr>true</vt:lpwstr>
  </property>
  <property fmtid="{D5CDD505-2E9C-101B-9397-08002B2CF9AE}" pid="12" name="MSIP_Label_834ed4f5-eae4-40c7-82be-b1cdf720a1b9_SetDate">
    <vt:lpwstr>2025-06-16T13:05:07Z</vt:lpwstr>
  </property>
  <property fmtid="{D5CDD505-2E9C-101B-9397-08002B2CF9AE}" pid="13" name="MSIP_Label_834ed4f5-eae4-40c7-82be-b1cdf720a1b9_Method">
    <vt:lpwstr>Standard</vt:lpwstr>
  </property>
  <property fmtid="{D5CDD505-2E9C-101B-9397-08002B2CF9AE}" pid="14" name="MSIP_Label_834ed4f5-eae4-40c7-82be-b1cdf720a1b9_Name">
    <vt:lpwstr>Unclassified - Non classifié</vt:lpwstr>
  </property>
  <property fmtid="{D5CDD505-2E9C-101B-9397-08002B2CF9AE}" pid="15" name="MSIP_Label_834ed4f5-eae4-40c7-82be-b1cdf720a1b9_SiteId">
    <vt:lpwstr>e0d54a3c-7bbe-4a64-9d46-f9f84a41c833</vt:lpwstr>
  </property>
  <property fmtid="{D5CDD505-2E9C-101B-9397-08002B2CF9AE}" pid="16" name="MSIP_Label_834ed4f5-eae4-40c7-82be-b1cdf720a1b9_ActionId">
    <vt:lpwstr>75022385-9f2b-4eb5-8eae-ffc3e66f0176</vt:lpwstr>
  </property>
  <property fmtid="{D5CDD505-2E9C-101B-9397-08002B2CF9AE}" pid="17" name="MSIP_Label_834ed4f5-eae4-40c7-82be-b1cdf720a1b9_ContentBits">
    <vt:lpwstr>0</vt:lpwstr>
  </property>
  <property fmtid="{D5CDD505-2E9C-101B-9397-08002B2CF9AE}" pid="18" name="MSIP_Label_834ed4f5-eae4-40c7-82be-b1cdf720a1b9_Tag">
    <vt:lpwstr>10, 3, 0, 1</vt:lpwstr>
  </property>
  <property fmtid="{D5CDD505-2E9C-101B-9397-08002B2CF9AE}" pid="19" name="RunPrepV5.2.2">
    <vt:lpwstr>17/06/2025 15:18:33</vt:lpwstr>
  </property>
</Properties>
</file>