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1F" w:rsidRDefault="00C0681F" w:rsidP="00C0681F">
      <w:pPr>
        <w:pStyle w:val="Default"/>
        <w:rPr>
          <w:rFonts w:ascii="Arial" w:hAnsi="Arial" w:cs="Arial"/>
          <w:b/>
          <w:bCs/>
          <w:sz w:val="23"/>
          <w:szCs w:val="23"/>
        </w:rPr>
      </w:pPr>
      <w:r>
        <w:rPr>
          <w:rFonts w:ascii="Arial" w:hAnsi="Arial" w:cs="Arial"/>
          <w:b/>
          <w:bCs/>
          <w:sz w:val="23"/>
          <w:szCs w:val="23"/>
        </w:rPr>
        <w:t xml:space="preserve">INSTITUTIONAL EQUITY, DIVERSITY AND INCLUSION ACTION PLAN: PROGRESS REPORT </w:t>
      </w:r>
    </w:p>
    <w:p w:rsidR="00026307" w:rsidRDefault="00026307" w:rsidP="00C0681F">
      <w:pPr>
        <w:pStyle w:val="Default"/>
        <w:rPr>
          <w:rFonts w:ascii="Arial" w:hAnsi="Arial" w:cs="Arial"/>
          <w:sz w:val="23"/>
          <w:szCs w:val="23"/>
        </w:rPr>
      </w:pPr>
    </w:p>
    <w:p w:rsidR="00026307" w:rsidRDefault="00C0681F" w:rsidP="00C0681F">
      <w:pPr>
        <w:pStyle w:val="Default"/>
        <w:rPr>
          <w:rFonts w:ascii="Arial" w:hAnsi="Arial" w:cs="Arial"/>
          <w:b/>
          <w:bCs/>
          <w:sz w:val="22"/>
          <w:szCs w:val="22"/>
        </w:rPr>
      </w:pPr>
      <w:r>
        <w:rPr>
          <w:rFonts w:ascii="Arial" w:hAnsi="Arial" w:cs="Arial"/>
          <w:b/>
          <w:bCs/>
          <w:sz w:val="22"/>
          <w:szCs w:val="22"/>
        </w:rPr>
        <w:t xml:space="preserve">Institution: </w:t>
      </w:r>
      <w:r w:rsidR="007C3CC0">
        <w:rPr>
          <w:rFonts w:ascii="Arial" w:hAnsi="Arial" w:cs="Arial"/>
          <w:b/>
          <w:bCs/>
          <w:sz w:val="22"/>
          <w:szCs w:val="22"/>
        </w:rPr>
        <w:t>Royal Military College of Canada (RMC)</w:t>
      </w:r>
    </w:p>
    <w:p w:rsidR="00026307" w:rsidRDefault="00026307" w:rsidP="00C0681F">
      <w:pPr>
        <w:pStyle w:val="Default"/>
        <w:rPr>
          <w:rFonts w:ascii="Arial" w:hAnsi="Arial" w:cs="Arial"/>
          <w:b/>
          <w:bCs/>
          <w:sz w:val="22"/>
          <w:szCs w:val="22"/>
        </w:rPr>
      </w:pPr>
    </w:p>
    <w:p w:rsidR="00026307" w:rsidRDefault="00C0681F" w:rsidP="00C0681F">
      <w:pPr>
        <w:pStyle w:val="Default"/>
        <w:rPr>
          <w:rFonts w:ascii="Arial" w:hAnsi="Arial" w:cs="Arial"/>
          <w:b/>
          <w:bCs/>
          <w:sz w:val="22"/>
          <w:szCs w:val="22"/>
        </w:rPr>
      </w:pPr>
      <w:r>
        <w:rPr>
          <w:rFonts w:ascii="Arial" w:hAnsi="Arial" w:cs="Arial"/>
          <w:b/>
          <w:bCs/>
          <w:sz w:val="22"/>
          <w:szCs w:val="22"/>
        </w:rPr>
        <w:t xml:space="preserve">Contact name and information: </w:t>
      </w:r>
      <w:r w:rsidR="007C3CC0">
        <w:rPr>
          <w:rFonts w:ascii="Arial" w:hAnsi="Arial" w:cs="Arial"/>
          <w:b/>
          <w:bCs/>
          <w:sz w:val="22"/>
          <w:szCs w:val="22"/>
        </w:rPr>
        <w:t>Mike Hennessy, mike.hennessy@rmc.ca</w:t>
      </w:r>
    </w:p>
    <w:p w:rsidR="00026307" w:rsidRDefault="00026307" w:rsidP="00C0681F">
      <w:pPr>
        <w:pStyle w:val="Default"/>
        <w:rPr>
          <w:rFonts w:ascii="Arial" w:hAnsi="Arial" w:cs="Arial"/>
          <w:b/>
          <w:bCs/>
          <w:sz w:val="22"/>
          <w:szCs w:val="22"/>
        </w:rPr>
      </w:pPr>
    </w:p>
    <w:p w:rsidR="00026307" w:rsidRDefault="00C0681F" w:rsidP="00C0681F">
      <w:pPr>
        <w:pStyle w:val="Default"/>
        <w:rPr>
          <w:rFonts w:ascii="Arial" w:hAnsi="Arial" w:cs="Arial"/>
          <w:b/>
          <w:bCs/>
          <w:sz w:val="22"/>
          <w:szCs w:val="22"/>
        </w:rPr>
      </w:pPr>
      <w:r>
        <w:rPr>
          <w:rFonts w:ascii="Arial" w:hAnsi="Arial" w:cs="Arial"/>
          <w:b/>
          <w:bCs/>
          <w:sz w:val="22"/>
          <w:szCs w:val="22"/>
        </w:rPr>
        <w:t xml:space="preserve">Instructions </w:t>
      </w:r>
    </w:p>
    <w:p w:rsidR="00026307" w:rsidRDefault="00026307" w:rsidP="00C0681F">
      <w:pPr>
        <w:pStyle w:val="Default"/>
        <w:rPr>
          <w:rFonts w:ascii="Arial" w:hAnsi="Arial" w:cs="Arial"/>
          <w:b/>
          <w:bCs/>
          <w:sz w:val="22"/>
          <w:szCs w:val="22"/>
        </w:rPr>
      </w:pPr>
    </w:p>
    <w:p w:rsidR="00026307" w:rsidRDefault="00C0681F" w:rsidP="00C0681F">
      <w:pPr>
        <w:pStyle w:val="Default"/>
        <w:rPr>
          <w:rFonts w:ascii="Arial" w:hAnsi="Arial" w:cs="Arial"/>
          <w:sz w:val="22"/>
          <w:szCs w:val="22"/>
        </w:rPr>
      </w:pPr>
      <w:r>
        <w:rPr>
          <w:rFonts w:ascii="Arial" w:hAnsi="Arial" w:cs="Arial"/>
          <w:sz w:val="22"/>
          <w:szCs w:val="22"/>
        </w:rPr>
        <w:t xml:space="preserve">Filling out all four sections of this report is mandatory. Institutions must email a PDF of this completed report and, if applicable, a revised copy of the institution’s equity, diversity and inclusion action plan by December 15, 2018, to </w:t>
      </w:r>
      <w:r>
        <w:rPr>
          <w:rFonts w:ascii="Arial" w:hAnsi="Arial" w:cs="Arial"/>
          <w:color w:val="0000FF"/>
          <w:sz w:val="22"/>
          <w:szCs w:val="22"/>
        </w:rPr>
        <w:t>edi-edi@chairs-chaires.gc.ca</w:t>
      </w:r>
      <w:r>
        <w:rPr>
          <w:rFonts w:ascii="Arial" w:hAnsi="Arial" w:cs="Arial"/>
          <w:sz w:val="22"/>
          <w:szCs w:val="22"/>
        </w:rPr>
        <w:t xml:space="preserve">. If an institution chooses to revise its action plan in anticipation of the assessment process, it must post an updated version of the plan on its </w:t>
      </w:r>
      <w:r>
        <w:rPr>
          <w:rFonts w:ascii="Arial" w:hAnsi="Arial" w:cs="Arial"/>
          <w:color w:val="0000FF"/>
          <w:sz w:val="22"/>
          <w:szCs w:val="22"/>
        </w:rPr>
        <w:t>public accountability web page</w:t>
      </w:r>
      <w:r>
        <w:rPr>
          <w:rFonts w:ascii="Arial" w:hAnsi="Arial" w:cs="Arial"/>
          <w:sz w:val="22"/>
          <w:szCs w:val="22"/>
        </w:rPr>
        <w:t xml:space="preserve">. </w:t>
      </w:r>
    </w:p>
    <w:p w:rsidR="00026307" w:rsidRDefault="00026307" w:rsidP="00C0681F">
      <w:pPr>
        <w:pStyle w:val="Default"/>
        <w:rPr>
          <w:rFonts w:ascii="Arial" w:hAnsi="Arial" w:cs="Arial"/>
          <w:sz w:val="22"/>
          <w:szCs w:val="22"/>
        </w:rPr>
      </w:pPr>
    </w:p>
    <w:p w:rsidR="00026307" w:rsidRDefault="00C0681F" w:rsidP="00C0681F">
      <w:pPr>
        <w:pStyle w:val="Default"/>
        <w:rPr>
          <w:rFonts w:ascii="Arial" w:hAnsi="Arial" w:cs="Arial"/>
          <w:b/>
          <w:bCs/>
          <w:sz w:val="22"/>
          <w:szCs w:val="22"/>
        </w:rPr>
      </w:pPr>
      <w:r>
        <w:rPr>
          <w:rFonts w:ascii="Arial" w:hAnsi="Arial" w:cs="Arial"/>
          <w:b/>
          <w:bCs/>
          <w:sz w:val="22"/>
          <w:szCs w:val="22"/>
        </w:rPr>
        <w:t xml:space="preserve">Equity, Diversity and Inclusion Recognition </w:t>
      </w:r>
    </w:p>
    <w:p w:rsidR="00026307" w:rsidRDefault="00026307" w:rsidP="00C0681F">
      <w:pPr>
        <w:pStyle w:val="Default"/>
        <w:rPr>
          <w:rFonts w:ascii="Arial" w:hAnsi="Arial" w:cs="Arial"/>
          <w:b/>
          <w:bCs/>
          <w:sz w:val="22"/>
          <w:szCs w:val="22"/>
        </w:rPr>
      </w:pPr>
    </w:p>
    <w:p w:rsidR="00C0681F" w:rsidRDefault="00C0681F" w:rsidP="00C0681F">
      <w:pPr>
        <w:pStyle w:val="Default"/>
        <w:rPr>
          <w:rFonts w:ascii="Arial" w:hAnsi="Arial" w:cs="Arial"/>
          <w:sz w:val="22"/>
          <w:szCs w:val="22"/>
        </w:rPr>
      </w:pPr>
      <w:r>
        <w:rPr>
          <w:rFonts w:ascii="Arial" w:hAnsi="Arial" w:cs="Arial"/>
          <w:sz w:val="22"/>
          <w:szCs w:val="22"/>
        </w:rPr>
        <w:t xml:space="preserve">Each year, the Tri-agency Institutional Programs Secretariat recognizes an institution with exemplary recruitment, nomination and/or appointment practices that promote equity and diversity. Indicate below whether your institution would like to be considered for the program’s recognition. The evaluation process for the recognition will be based on the committee’s assessment of this progress report and the institution’s corresponding action plan. </w:t>
      </w:r>
    </w:p>
    <w:p w:rsidR="007D651E" w:rsidRDefault="007D651E" w:rsidP="00C0681F">
      <w:pPr>
        <w:pStyle w:val="Default"/>
        <w:rPr>
          <w:rFonts w:ascii="Arial" w:hAnsi="Arial" w:cs="Arial"/>
          <w:sz w:val="22"/>
          <w:szCs w:val="22"/>
        </w:rPr>
      </w:pPr>
    </w:p>
    <w:p w:rsidR="00C0681F" w:rsidRDefault="00C0681F" w:rsidP="00C0681F">
      <w:pPr>
        <w:pStyle w:val="Default"/>
        <w:rPr>
          <w:rFonts w:ascii="Arial" w:hAnsi="Arial" w:cs="Arial"/>
          <w:sz w:val="22"/>
          <w:szCs w:val="22"/>
        </w:rPr>
      </w:pPr>
      <w:r>
        <w:rPr>
          <w:rFonts w:ascii="Arial" w:hAnsi="Arial" w:cs="Arial"/>
          <w:sz w:val="22"/>
          <w:szCs w:val="22"/>
        </w:rPr>
        <w:t>Yes:____________ No:__</w:t>
      </w:r>
      <w:r w:rsidR="007C3CC0">
        <w:rPr>
          <w:rFonts w:ascii="Arial" w:hAnsi="Arial" w:cs="Arial"/>
          <w:sz w:val="22"/>
          <w:szCs w:val="22"/>
        </w:rPr>
        <w:t>x</w:t>
      </w:r>
      <w:r>
        <w:rPr>
          <w:rFonts w:ascii="Arial" w:hAnsi="Arial" w:cs="Arial"/>
          <w:sz w:val="22"/>
          <w:szCs w:val="22"/>
        </w:rPr>
        <w:t xml:space="preserve">_________ </w:t>
      </w:r>
    </w:p>
    <w:p w:rsidR="007D651E" w:rsidRDefault="007D651E" w:rsidP="007D651E">
      <w:pPr>
        <w:pStyle w:val="Default"/>
        <w:pBdr>
          <w:bottom w:val="single" w:sz="4" w:space="1" w:color="auto"/>
        </w:pBdr>
        <w:rPr>
          <w:rFonts w:ascii="Arial" w:hAnsi="Arial" w:cs="Arial"/>
          <w:b/>
          <w:bCs/>
          <w:sz w:val="22"/>
          <w:szCs w:val="22"/>
        </w:rPr>
      </w:pPr>
    </w:p>
    <w:p w:rsidR="007D651E" w:rsidRDefault="007D651E" w:rsidP="00C0681F">
      <w:pPr>
        <w:pStyle w:val="Default"/>
        <w:rPr>
          <w:rFonts w:ascii="Arial" w:hAnsi="Arial" w:cs="Arial"/>
          <w:b/>
          <w:bCs/>
          <w:sz w:val="22"/>
          <w:szCs w:val="22"/>
        </w:rPr>
      </w:pPr>
    </w:p>
    <w:p w:rsidR="00C0681F" w:rsidRDefault="00C0681F" w:rsidP="00C0681F">
      <w:pPr>
        <w:pStyle w:val="Default"/>
        <w:rPr>
          <w:rFonts w:ascii="Arial" w:hAnsi="Arial" w:cs="Arial"/>
          <w:b/>
          <w:bCs/>
          <w:sz w:val="22"/>
          <w:szCs w:val="22"/>
        </w:rPr>
      </w:pPr>
      <w:r>
        <w:rPr>
          <w:rFonts w:ascii="Arial" w:hAnsi="Arial" w:cs="Arial"/>
          <w:b/>
          <w:bCs/>
          <w:sz w:val="22"/>
          <w:szCs w:val="22"/>
        </w:rPr>
        <w:t xml:space="preserve">PART A: Equity and Diversity Targets and Gaps </w:t>
      </w:r>
    </w:p>
    <w:p w:rsidR="007D651E" w:rsidRDefault="007D651E" w:rsidP="00C0681F">
      <w:pPr>
        <w:pStyle w:val="Default"/>
        <w:rPr>
          <w:rFonts w:ascii="Arial" w:hAnsi="Arial" w:cs="Arial"/>
          <w:sz w:val="22"/>
          <w:szCs w:val="22"/>
        </w:rPr>
      </w:pPr>
      <w:r>
        <w:rPr>
          <w:rFonts w:ascii="Arial" w:hAnsi="Arial" w:cs="Arial"/>
          <w:sz w:val="22"/>
          <w:szCs w:val="22"/>
        </w:rPr>
        <w:t xml:space="preserve">A.1) Provide the current targets and gaps for your institution in the table below (using the </w:t>
      </w:r>
      <w:r>
        <w:rPr>
          <w:rFonts w:ascii="Arial" w:hAnsi="Arial" w:cs="Arial"/>
          <w:color w:val="0000FF"/>
          <w:sz w:val="22"/>
          <w:szCs w:val="22"/>
        </w:rPr>
        <w:t>target-setting tool</w:t>
      </w:r>
      <w:r>
        <w:rPr>
          <w:rFonts w:ascii="Arial" w:hAnsi="Arial" w:cs="Arial"/>
          <w:sz w:val="22"/>
          <w:szCs w:val="22"/>
        </w:rPr>
        <w:t>).</w:t>
      </w:r>
    </w:p>
    <w:p w:rsidR="007D651E" w:rsidRDefault="007D651E" w:rsidP="00C0681F">
      <w:pPr>
        <w:pStyle w:val="Default"/>
        <w:rPr>
          <w:rFonts w:ascii="Arial" w:hAnsi="Arial" w:cs="Arial"/>
          <w:sz w:val="22"/>
          <w:szCs w:val="22"/>
        </w:rPr>
      </w:pPr>
    </w:p>
    <w:tbl>
      <w:tblPr>
        <w:tblStyle w:val="TableGrid"/>
        <w:tblW w:w="0" w:type="auto"/>
        <w:tblLook w:val="04A0" w:firstRow="1" w:lastRow="0" w:firstColumn="1" w:lastColumn="0" w:noHBand="0" w:noVBand="1"/>
      </w:tblPr>
      <w:tblGrid>
        <w:gridCol w:w="1842"/>
        <w:gridCol w:w="1975"/>
        <w:gridCol w:w="1797"/>
        <w:gridCol w:w="1901"/>
        <w:gridCol w:w="1835"/>
      </w:tblGrid>
      <w:tr w:rsidR="00562285" w:rsidTr="00562285">
        <w:tc>
          <w:tcPr>
            <w:tcW w:w="1915" w:type="dxa"/>
          </w:tcPr>
          <w:p w:rsidR="00562285" w:rsidRDefault="00562285" w:rsidP="00082F7E">
            <w:pPr>
              <w:jc w:val="center"/>
            </w:pPr>
            <w:r w:rsidRPr="00562285">
              <w:rPr>
                <w:rFonts w:ascii="Arial" w:hAnsi="Arial" w:cs="Arial"/>
                <w:b/>
                <w:bCs/>
                <w:color w:val="000000"/>
                <w:lang w:val="en-CA"/>
              </w:rPr>
              <w:t>Designated group</w:t>
            </w:r>
          </w:p>
        </w:tc>
        <w:tc>
          <w:tcPr>
            <w:tcW w:w="1915" w:type="dxa"/>
          </w:tcPr>
          <w:tbl>
            <w:tblPr>
              <w:tblW w:w="0" w:type="auto"/>
              <w:tblBorders>
                <w:top w:val="nil"/>
                <w:left w:val="nil"/>
                <w:bottom w:val="nil"/>
                <w:right w:val="nil"/>
              </w:tblBorders>
              <w:tblLook w:val="0000" w:firstRow="0" w:lastRow="0" w:firstColumn="0" w:lastColumn="0" w:noHBand="0" w:noVBand="0"/>
            </w:tblPr>
            <w:tblGrid>
              <w:gridCol w:w="1537"/>
              <w:gridCol w:w="222"/>
            </w:tblGrid>
            <w:tr w:rsidR="00562285" w:rsidRPr="00562285" w:rsidTr="00F20035">
              <w:trPr>
                <w:trHeight w:val="281"/>
              </w:trPr>
              <w:tc>
                <w:tcPr>
                  <w:tcW w:w="0" w:type="auto"/>
                </w:tcPr>
                <w:p w:rsidR="00562285" w:rsidRPr="00562285" w:rsidRDefault="00562285" w:rsidP="00082F7E">
                  <w:pPr>
                    <w:autoSpaceDE w:val="0"/>
                    <w:autoSpaceDN w:val="0"/>
                    <w:adjustRightInd w:val="0"/>
                    <w:spacing w:after="0" w:line="240" w:lineRule="auto"/>
                    <w:jc w:val="center"/>
                    <w:rPr>
                      <w:rFonts w:ascii="Arial" w:hAnsi="Arial" w:cs="Arial"/>
                      <w:color w:val="000000"/>
                      <w:lang w:val="en-CA"/>
                    </w:rPr>
                  </w:pPr>
                  <w:r w:rsidRPr="00562285">
                    <w:rPr>
                      <w:rFonts w:ascii="Arial" w:hAnsi="Arial" w:cs="Arial"/>
                      <w:b/>
                      <w:bCs/>
                      <w:color w:val="000000"/>
                      <w:lang w:val="en-CA"/>
                    </w:rPr>
                    <w:t>Target (percentage)</w:t>
                  </w:r>
                </w:p>
              </w:tc>
              <w:tc>
                <w:tcPr>
                  <w:tcW w:w="0" w:type="auto"/>
                </w:tcPr>
                <w:p w:rsidR="00562285" w:rsidRPr="00562285" w:rsidRDefault="00562285" w:rsidP="00082F7E">
                  <w:pPr>
                    <w:autoSpaceDE w:val="0"/>
                    <w:autoSpaceDN w:val="0"/>
                    <w:adjustRightInd w:val="0"/>
                    <w:spacing w:after="0" w:line="240" w:lineRule="auto"/>
                    <w:jc w:val="center"/>
                    <w:rPr>
                      <w:rFonts w:ascii="Arial" w:hAnsi="Arial" w:cs="Arial"/>
                      <w:color w:val="000000"/>
                      <w:lang w:val="en-CA"/>
                    </w:rPr>
                  </w:pPr>
                </w:p>
              </w:tc>
            </w:tr>
          </w:tbl>
          <w:p w:rsidR="00562285" w:rsidRDefault="00562285" w:rsidP="00082F7E">
            <w:pPr>
              <w:jc w:val="center"/>
            </w:pPr>
          </w:p>
        </w:tc>
        <w:tc>
          <w:tcPr>
            <w:tcW w:w="1915" w:type="dxa"/>
          </w:tcPr>
          <w:p w:rsidR="00562285" w:rsidRDefault="00562285" w:rsidP="00082F7E">
            <w:pPr>
              <w:jc w:val="center"/>
            </w:pPr>
            <w:r w:rsidRPr="00562285">
              <w:rPr>
                <w:rFonts w:ascii="Arial" w:hAnsi="Arial" w:cs="Arial"/>
                <w:b/>
                <w:bCs/>
                <w:color w:val="000000"/>
                <w:lang w:val="en-CA"/>
              </w:rPr>
              <w:t>Target (actual number)</w:t>
            </w:r>
          </w:p>
        </w:tc>
        <w:tc>
          <w:tcPr>
            <w:tcW w:w="1915" w:type="dxa"/>
          </w:tcPr>
          <w:p w:rsidR="00562285" w:rsidRDefault="00562285" w:rsidP="00082F7E">
            <w:pPr>
              <w:jc w:val="center"/>
            </w:pPr>
            <w:r w:rsidRPr="00562285">
              <w:rPr>
                <w:rFonts w:ascii="Arial" w:hAnsi="Arial" w:cs="Arial"/>
                <w:b/>
                <w:bCs/>
                <w:color w:val="000000"/>
                <w:lang w:val="en-CA"/>
              </w:rPr>
              <w:t>Representation (actual number)</w:t>
            </w:r>
          </w:p>
        </w:tc>
        <w:tc>
          <w:tcPr>
            <w:tcW w:w="1916" w:type="dxa"/>
          </w:tcPr>
          <w:p w:rsidR="00562285" w:rsidRDefault="00562285" w:rsidP="00082F7E">
            <w:pPr>
              <w:jc w:val="center"/>
            </w:pPr>
            <w:r w:rsidRPr="00562285">
              <w:rPr>
                <w:rFonts w:ascii="Arial" w:hAnsi="Arial" w:cs="Arial"/>
                <w:b/>
                <w:bCs/>
                <w:color w:val="000000"/>
                <w:lang w:val="en-CA"/>
              </w:rPr>
              <w:t>Gap(actual number)</w:t>
            </w:r>
          </w:p>
        </w:tc>
      </w:tr>
      <w:tr w:rsidR="00562285" w:rsidTr="00562285">
        <w:tc>
          <w:tcPr>
            <w:tcW w:w="1915" w:type="dxa"/>
          </w:tcPr>
          <w:p w:rsidR="00562285" w:rsidRDefault="00562285" w:rsidP="00562285">
            <w:pPr>
              <w:autoSpaceDE w:val="0"/>
              <w:autoSpaceDN w:val="0"/>
              <w:adjustRightInd w:val="0"/>
              <w:rPr>
                <w:rFonts w:ascii="Arial" w:hAnsi="Arial" w:cs="Arial"/>
                <w:color w:val="000000"/>
                <w:lang w:val="en-CA"/>
              </w:rPr>
            </w:pPr>
            <w:r w:rsidRPr="00562285">
              <w:rPr>
                <w:rFonts w:ascii="Arial" w:hAnsi="Arial" w:cs="Arial"/>
                <w:color w:val="000000"/>
                <w:lang w:val="en-CA"/>
              </w:rPr>
              <w:t>Women</w:t>
            </w:r>
          </w:p>
          <w:p w:rsidR="00082F7E" w:rsidRDefault="00082F7E" w:rsidP="00562285">
            <w:pPr>
              <w:autoSpaceDE w:val="0"/>
              <w:autoSpaceDN w:val="0"/>
              <w:adjustRightInd w:val="0"/>
            </w:pPr>
          </w:p>
        </w:tc>
        <w:tc>
          <w:tcPr>
            <w:tcW w:w="1915" w:type="dxa"/>
          </w:tcPr>
          <w:p w:rsidR="00562285" w:rsidRDefault="007C3CC0" w:rsidP="007C3CC0">
            <w:pPr>
              <w:jc w:val="center"/>
            </w:pPr>
            <w:r>
              <w:t>29</w:t>
            </w:r>
          </w:p>
        </w:tc>
        <w:tc>
          <w:tcPr>
            <w:tcW w:w="1915" w:type="dxa"/>
          </w:tcPr>
          <w:p w:rsidR="00562285" w:rsidRDefault="007C3CC0" w:rsidP="007C3CC0">
            <w:pPr>
              <w:jc w:val="center"/>
            </w:pPr>
            <w:r>
              <w:t>1</w:t>
            </w:r>
          </w:p>
        </w:tc>
        <w:tc>
          <w:tcPr>
            <w:tcW w:w="1915" w:type="dxa"/>
          </w:tcPr>
          <w:p w:rsidR="00562285" w:rsidRDefault="00562285"/>
        </w:tc>
        <w:tc>
          <w:tcPr>
            <w:tcW w:w="1916" w:type="dxa"/>
          </w:tcPr>
          <w:p w:rsidR="00562285" w:rsidRDefault="00562285"/>
        </w:tc>
      </w:tr>
      <w:tr w:rsidR="00562285" w:rsidTr="00562285">
        <w:tc>
          <w:tcPr>
            <w:tcW w:w="1915" w:type="dxa"/>
          </w:tcPr>
          <w:p w:rsidR="00562285" w:rsidRDefault="00562285">
            <w:r w:rsidRPr="00562285">
              <w:rPr>
                <w:rFonts w:ascii="Arial" w:hAnsi="Arial" w:cs="Arial"/>
                <w:color w:val="000000"/>
                <w:lang w:val="en-CA"/>
              </w:rPr>
              <w:t>Indigenous peoples</w:t>
            </w:r>
          </w:p>
        </w:tc>
        <w:tc>
          <w:tcPr>
            <w:tcW w:w="1915" w:type="dxa"/>
          </w:tcPr>
          <w:p w:rsidR="00562285" w:rsidRDefault="007C3CC0" w:rsidP="007C3CC0">
            <w:pPr>
              <w:jc w:val="center"/>
            </w:pPr>
            <w:r>
              <w:t>1</w:t>
            </w:r>
          </w:p>
        </w:tc>
        <w:tc>
          <w:tcPr>
            <w:tcW w:w="1915" w:type="dxa"/>
          </w:tcPr>
          <w:p w:rsidR="00562285" w:rsidRDefault="007C3CC0" w:rsidP="007C3CC0">
            <w:pPr>
              <w:jc w:val="center"/>
            </w:pPr>
            <w:r>
              <w:t>0</w:t>
            </w:r>
          </w:p>
        </w:tc>
        <w:tc>
          <w:tcPr>
            <w:tcW w:w="1915" w:type="dxa"/>
          </w:tcPr>
          <w:p w:rsidR="00562285" w:rsidRDefault="00562285"/>
        </w:tc>
        <w:tc>
          <w:tcPr>
            <w:tcW w:w="1916" w:type="dxa"/>
          </w:tcPr>
          <w:p w:rsidR="00562285" w:rsidRDefault="00562285"/>
        </w:tc>
      </w:tr>
      <w:tr w:rsidR="00562285" w:rsidTr="00562285">
        <w:tc>
          <w:tcPr>
            <w:tcW w:w="1915" w:type="dxa"/>
          </w:tcPr>
          <w:p w:rsidR="00562285" w:rsidRDefault="00562285">
            <w:r w:rsidRPr="00562285">
              <w:rPr>
                <w:rFonts w:ascii="Arial" w:hAnsi="Arial" w:cs="Arial"/>
                <w:color w:val="000000"/>
                <w:lang w:val="en-CA"/>
              </w:rPr>
              <w:t>Persons with disabilities</w:t>
            </w:r>
          </w:p>
        </w:tc>
        <w:tc>
          <w:tcPr>
            <w:tcW w:w="1915" w:type="dxa"/>
          </w:tcPr>
          <w:p w:rsidR="00562285" w:rsidRDefault="007C3CC0" w:rsidP="007C3CC0">
            <w:pPr>
              <w:jc w:val="center"/>
            </w:pPr>
            <w:r>
              <w:t>4</w:t>
            </w:r>
          </w:p>
        </w:tc>
        <w:tc>
          <w:tcPr>
            <w:tcW w:w="1915" w:type="dxa"/>
          </w:tcPr>
          <w:p w:rsidR="00562285" w:rsidRDefault="007C3CC0" w:rsidP="007C3CC0">
            <w:pPr>
              <w:jc w:val="center"/>
            </w:pPr>
            <w:r>
              <w:t>0</w:t>
            </w:r>
          </w:p>
        </w:tc>
        <w:tc>
          <w:tcPr>
            <w:tcW w:w="1915" w:type="dxa"/>
          </w:tcPr>
          <w:p w:rsidR="00562285" w:rsidRDefault="00562285"/>
        </w:tc>
        <w:tc>
          <w:tcPr>
            <w:tcW w:w="1916" w:type="dxa"/>
          </w:tcPr>
          <w:p w:rsidR="00562285" w:rsidRDefault="00562285"/>
        </w:tc>
      </w:tr>
      <w:tr w:rsidR="00562285" w:rsidTr="00562285">
        <w:tc>
          <w:tcPr>
            <w:tcW w:w="1915" w:type="dxa"/>
          </w:tcPr>
          <w:p w:rsidR="00562285" w:rsidRDefault="00562285">
            <w:pPr>
              <w:rPr>
                <w:rFonts w:ascii="Arial" w:hAnsi="Arial" w:cs="Arial"/>
                <w:color w:val="000000"/>
                <w:lang w:val="en-CA"/>
              </w:rPr>
            </w:pPr>
            <w:r w:rsidRPr="00562285">
              <w:rPr>
                <w:rFonts w:ascii="Arial" w:hAnsi="Arial" w:cs="Arial"/>
                <w:color w:val="000000"/>
                <w:lang w:val="en-CA"/>
              </w:rPr>
              <w:t>Visible minorities</w:t>
            </w:r>
          </w:p>
          <w:p w:rsidR="00082F7E" w:rsidRDefault="00082F7E"/>
        </w:tc>
        <w:tc>
          <w:tcPr>
            <w:tcW w:w="1915" w:type="dxa"/>
          </w:tcPr>
          <w:p w:rsidR="00562285" w:rsidRDefault="007C3CC0" w:rsidP="007C3CC0">
            <w:pPr>
              <w:jc w:val="center"/>
            </w:pPr>
            <w:r>
              <w:t>15</w:t>
            </w:r>
          </w:p>
        </w:tc>
        <w:tc>
          <w:tcPr>
            <w:tcW w:w="1915" w:type="dxa"/>
          </w:tcPr>
          <w:p w:rsidR="00562285" w:rsidRDefault="0001683C" w:rsidP="007C3CC0">
            <w:pPr>
              <w:jc w:val="center"/>
            </w:pPr>
            <w:r>
              <w:t>1</w:t>
            </w:r>
            <w:bookmarkStart w:id="0" w:name="_GoBack"/>
            <w:bookmarkEnd w:id="0"/>
          </w:p>
        </w:tc>
        <w:tc>
          <w:tcPr>
            <w:tcW w:w="1915" w:type="dxa"/>
          </w:tcPr>
          <w:p w:rsidR="00562285" w:rsidRDefault="00562285"/>
        </w:tc>
        <w:tc>
          <w:tcPr>
            <w:tcW w:w="1916" w:type="dxa"/>
          </w:tcPr>
          <w:p w:rsidR="00562285" w:rsidRDefault="00562285"/>
        </w:tc>
      </w:tr>
    </w:tbl>
    <w:p w:rsidR="00082F7E" w:rsidRPr="00082F7E" w:rsidRDefault="00082F7E" w:rsidP="00082F7E">
      <w:pPr>
        <w:autoSpaceDE w:val="0"/>
        <w:autoSpaceDN w:val="0"/>
        <w:adjustRightInd w:val="0"/>
        <w:spacing w:after="0" w:line="240" w:lineRule="auto"/>
        <w:rPr>
          <w:rFonts w:ascii="Arial" w:hAnsi="Arial" w:cs="Arial"/>
          <w:color w:val="000000"/>
          <w:sz w:val="24"/>
          <w:szCs w:val="24"/>
          <w:lang w:val="en-CA"/>
        </w:rPr>
      </w:pPr>
    </w:p>
    <w:p w:rsidR="00082F7E" w:rsidRDefault="00082F7E" w:rsidP="00082F7E">
      <w:pPr>
        <w:autoSpaceDE w:val="0"/>
        <w:autoSpaceDN w:val="0"/>
        <w:adjustRightInd w:val="0"/>
        <w:spacing w:after="0" w:line="240" w:lineRule="auto"/>
        <w:rPr>
          <w:rFonts w:ascii="Arial" w:hAnsi="Arial" w:cs="Arial"/>
          <w:color w:val="000000"/>
          <w:lang w:val="en-CA"/>
        </w:rPr>
      </w:pPr>
      <w:r w:rsidRPr="00082F7E">
        <w:rPr>
          <w:rFonts w:ascii="Arial" w:hAnsi="Arial" w:cs="Arial"/>
          <w:color w:val="000000"/>
          <w:lang w:val="en-CA"/>
        </w:rPr>
        <w:t>Number of currently active chairs:</w:t>
      </w:r>
      <w:r w:rsidR="007C3CC0">
        <w:rPr>
          <w:rFonts w:ascii="Arial" w:hAnsi="Arial" w:cs="Arial"/>
          <w:color w:val="000000"/>
          <w:lang w:val="en-CA"/>
        </w:rPr>
        <w:t xml:space="preserve"> 3</w:t>
      </w:r>
      <w:r w:rsidRPr="00082F7E">
        <w:rPr>
          <w:rFonts w:ascii="Arial" w:hAnsi="Arial" w:cs="Arial"/>
          <w:color w:val="000000"/>
          <w:lang w:val="en-CA"/>
        </w:rPr>
        <w:t xml:space="preserve"> </w:t>
      </w:r>
    </w:p>
    <w:p w:rsidR="00082F7E" w:rsidRPr="00082F7E" w:rsidRDefault="00082F7E" w:rsidP="00082F7E">
      <w:pPr>
        <w:autoSpaceDE w:val="0"/>
        <w:autoSpaceDN w:val="0"/>
        <w:adjustRightInd w:val="0"/>
        <w:spacing w:after="0" w:line="240" w:lineRule="auto"/>
        <w:rPr>
          <w:rFonts w:ascii="Arial" w:hAnsi="Arial" w:cs="Arial"/>
          <w:color w:val="000000"/>
          <w:lang w:val="en-CA"/>
        </w:rPr>
      </w:pPr>
    </w:p>
    <w:p w:rsidR="00082F7E" w:rsidRDefault="00082F7E" w:rsidP="00082F7E">
      <w:pPr>
        <w:autoSpaceDE w:val="0"/>
        <w:autoSpaceDN w:val="0"/>
        <w:adjustRightInd w:val="0"/>
        <w:spacing w:after="0" w:line="240" w:lineRule="auto"/>
        <w:rPr>
          <w:rFonts w:ascii="Arial" w:hAnsi="Arial" w:cs="Arial"/>
          <w:color w:val="000000"/>
          <w:lang w:val="en-CA"/>
        </w:rPr>
      </w:pPr>
      <w:r w:rsidRPr="00082F7E">
        <w:rPr>
          <w:rFonts w:ascii="Arial" w:hAnsi="Arial" w:cs="Arial"/>
          <w:color w:val="000000"/>
          <w:lang w:val="en-CA"/>
        </w:rPr>
        <w:t>Number of empty chairs:</w:t>
      </w:r>
      <w:r w:rsidR="007C3CC0">
        <w:rPr>
          <w:rFonts w:ascii="Arial" w:hAnsi="Arial" w:cs="Arial"/>
          <w:color w:val="000000"/>
          <w:lang w:val="en-CA"/>
        </w:rPr>
        <w:t xml:space="preserve"> 2</w:t>
      </w:r>
    </w:p>
    <w:p w:rsidR="00082F7E" w:rsidRPr="00082F7E" w:rsidRDefault="00082F7E" w:rsidP="00082F7E">
      <w:pPr>
        <w:autoSpaceDE w:val="0"/>
        <w:autoSpaceDN w:val="0"/>
        <w:adjustRightInd w:val="0"/>
        <w:spacing w:after="0" w:line="240" w:lineRule="auto"/>
        <w:rPr>
          <w:rFonts w:ascii="Arial" w:hAnsi="Arial" w:cs="Arial"/>
          <w:color w:val="000000"/>
          <w:lang w:val="en-CA"/>
        </w:rPr>
      </w:pPr>
    </w:p>
    <w:p w:rsidR="00082F7E" w:rsidRDefault="00082F7E" w:rsidP="00082F7E">
      <w:pPr>
        <w:rPr>
          <w:rFonts w:ascii="Arial" w:hAnsi="Arial" w:cs="Arial"/>
          <w:color w:val="000000"/>
          <w:lang w:val="en-CA"/>
        </w:rPr>
      </w:pPr>
      <w:r w:rsidRPr="00082F7E">
        <w:rPr>
          <w:rFonts w:ascii="Arial" w:hAnsi="Arial" w:cs="Arial"/>
          <w:color w:val="000000"/>
          <w:lang w:val="en-CA"/>
        </w:rPr>
        <w:t>Number of chairs currently under peer review</w:t>
      </w:r>
      <w:r w:rsidR="007C3CC0">
        <w:rPr>
          <w:rFonts w:ascii="Arial" w:hAnsi="Arial" w:cs="Arial"/>
          <w:color w:val="000000"/>
          <w:lang w:val="en-CA"/>
        </w:rPr>
        <w:t>: 0</w:t>
      </w:r>
    </w:p>
    <w:p w:rsidR="00082F7E" w:rsidRDefault="00082F7E" w:rsidP="00082F7E">
      <w:pPr>
        <w:rPr>
          <w:rFonts w:ascii="Arial" w:hAnsi="Arial" w:cs="Arial"/>
          <w:color w:val="000000"/>
          <w:lang w:val="en-CA"/>
        </w:rPr>
      </w:pPr>
    </w:p>
    <w:p w:rsidR="00082F7E" w:rsidRDefault="00082F7E" w:rsidP="00082F7E">
      <w:pPr>
        <w:rPr>
          <w:rFonts w:ascii="Arial" w:hAnsi="Arial" w:cs="Arial"/>
          <w:color w:val="000000"/>
          <w:lang w:val="en-CA"/>
        </w:rPr>
      </w:pPr>
    </w:p>
    <w:p w:rsidR="00082F7E" w:rsidRDefault="00082F7E" w:rsidP="00082F7E">
      <w:r>
        <w:lastRenderedPageBreak/>
        <w:t>A.2) Provide any contextual details, such as empty chairs for which recruitment processes have</w:t>
      </w:r>
      <w:r w:rsidR="00B1061D">
        <w:t xml:space="preserve"> </w:t>
      </w:r>
      <w:r>
        <w:t>started (limit 200 words):</w:t>
      </w:r>
    </w:p>
    <w:tbl>
      <w:tblPr>
        <w:tblStyle w:val="TableGrid"/>
        <w:tblW w:w="0" w:type="auto"/>
        <w:tblLook w:val="04A0" w:firstRow="1" w:lastRow="0" w:firstColumn="1" w:lastColumn="0" w:noHBand="0" w:noVBand="1"/>
      </w:tblPr>
      <w:tblGrid>
        <w:gridCol w:w="9350"/>
      </w:tblGrid>
      <w:tr w:rsidR="00082F7E" w:rsidTr="00082F7E">
        <w:tc>
          <w:tcPr>
            <w:tcW w:w="9576" w:type="dxa"/>
          </w:tcPr>
          <w:p w:rsidR="00082F7E" w:rsidRDefault="00082F7E" w:rsidP="00082F7E"/>
          <w:p w:rsidR="00FA5B89" w:rsidRDefault="00FA5B89" w:rsidP="00FA5B89">
            <w:r>
              <w:t>RMC has two empty CRC chairs to fill. The process of identifying areas of potential recruitment will begin in the spring of 2019.</w:t>
            </w:r>
          </w:p>
          <w:p w:rsidR="00082F7E" w:rsidRDefault="00082F7E" w:rsidP="00082F7E"/>
        </w:tc>
      </w:tr>
    </w:tbl>
    <w:p w:rsidR="00082F7E" w:rsidRDefault="00082F7E" w:rsidP="00082F7E"/>
    <w:p w:rsidR="00082F7E" w:rsidRDefault="00082F7E" w:rsidP="00082F7E">
      <w:pPr>
        <w:autoSpaceDE w:val="0"/>
        <w:autoSpaceDN w:val="0"/>
        <w:adjustRightInd w:val="0"/>
        <w:spacing w:after="0" w:line="240" w:lineRule="auto"/>
        <w:rPr>
          <w:rFonts w:ascii="Arial" w:hAnsi="Arial" w:cs="Arial"/>
          <w:b/>
          <w:bCs/>
          <w:color w:val="000000"/>
          <w:lang w:val="en-CA"/>
        </w:rPr>
      </w:pPr>
      <w:r w:rsidRPr="00082F7E">
        <w:rPr>
          <w:rFonts w:ascii="Arial" w:hAnsi="Arial" w:cs="Arial"/>
          <w:b/>
          <w:bCs/>
          <w:color w:val="000000"/>
          <w:lang w:val="en-CA"/>
        </w:rPr>
        <w:t xml:space="preserve">PART B: Results of the institution’s Employment Systems Review, Comparative Review and Environmental Scan </w:t>
      </w:r>
    </w:p>
    <w:p w:rsidR="00082F7E" w:rsidRPr="00082F7E" w:rsidRDefault="00082F7E" w:rsidP="00082F7E">
      <w:pPr>
        <w:autoSpaceDE w:val="0"/>
        <w:autoSpaceDN w:val="0"/>
        <w:adjustRightInd w:val="0"/>
        <w:spacing w:after="0" w:line="240" w:lineRule="auto"/>
        <w:rPr>
          <w:rFonts w:ascii="Arial" w:hAnsi="Arial" w:cs="Arial"/>
          <w:color w:val="000000"/>
          <w:lang w:val="en-CA"/>
        </w:rPr>
      </w:pPr>
    </w:p>
    <w:p w:rsidR="00082F7E" w:rsidRPr="00082F7E" w:rsidRDefault="00082F7E" w:rsidP="00082F7E">
      <w:pPr>
        <w:autoSpaceDE w:val="0"/>
        <w:autoSpaceDN w:val="0"/>
        <w:adjustRightInd w:val="0"/>
        <w:spacing w:after="0" w:line="240" w:lineRule="auto"/>
        <w:rPr>
          <w:rFonts w:ascii="Arial" w:hAnsi="Arial" w:cs="Arial"/>
          <w:color w:val="000000"/>
          <w:lang w:val="en-CA"/>
        </w:rPr>
      </w:pPr>
      <w:r w:rsidRPr="00082F7E">
        <w:rPr>
          <w:rFonts w:ascii="Arial" w:hAnsi="Arial" w:cs="Arial"/>
          <w:color w:val="000000"/>
          <w:lang w:val="en-CA"/>
        </w:rPr>
        <w:t>In developing their action plans, institutions were required to develop objectives that were S.M.A.R.T. (specific, measurable, aligned with the wanted outcome, realistic and timely), and</w:t>
      </w:r>
      <w:r w:rsidR="00B1061D">
        <w:rPr>
          <w:rFonts w:ascii="Arial" w:hAnsi="Arial" w:cs="Arial"/>
          <w:color w:val="000000"/>
          <w:lang w:val="en-CA"/>
        </w:rPr>
        <w:t xml:space="preserve"> </w:t>
      </w:r>
      <w:r w:rsidRPr="00082F7E">
        <w:rPr>
          <w:rFonts w:ascii="Arial" w:hAnsi="Arial" w:cs="Arial"/>
          <w:color w:val="000000"/>
          <w:lang w:val="en-CA"/>
        </w:rPr>
        <w:t>include a measurement strategy for monitoring, reporting on progress, and course correcting if</w:t>
      </w:r>
      <w:r w:rsidR="00B1061D">
        <w:rPr>
          <w:rFonts w:ascii="Arial" w:hAnsi="Arial" w:cs="Arial"/>
          <w:color w:val="000000"/>
          <w:lang w:val="en-CA"/>
        </w:rPr>
        <w:t xml:space="preserve"> </w:t>
      </w:r>
      <w:r w:rsidRPr="00082F7E">
        <w:rPr>
          <w:rFonts w:ascii="Arial" w:hAnsi="Arial" w:cs="Arial"/>
          <w:color w:val="000000"/>
          <w:lang w:val="en-CA"/>
        </w:rPr>
        <w:t>necessary, based on: 1) an employment systems review; 2) a comparative review; and 3) an</w:t>
      </w:r>
      <w:r w:rsidR="00B1061D">
        <w:rPr>
          <w:rFonts w:ascii="Arial" w:hAnsi="Arial" w:cs="Arial"/>
          <w:color w:val="000000"/>
          <w:lang w:val="en-CA"/>
        </w:rPr>
        <w:t xml:space="preserve"> </w:t>
      </w:r>
      <w:r w:rsidRPr="00082F7E">
        <w:rPr>
          <w:rFonts w:ascii="Arial" w:hAnsi="Arial" w:cs="Arial"/>
          <w:color w:val="000000"/>
          <w:lang w:val="en-CA"/>
        </w:rPr>
        <w:t>environmental scan (see Appendix A for the requirements that the program stipulated to</w:t>
      </w:r>
      <w:r w:rsidR="00B1061D">
        <w:rPr>
          <w:rFonts w:ascii="Arial" w:hAnsi="Arial" w:cs="Arial"/>
          <w:color w:val="000000"/>
          <w:lang w:val="en-CA"/>
        </w:rPr>
        <w:t xml:space="preserve"> </w:t>
      </w:r>
      <w:r w:rsidRPr="00082F7E">
        <w:rPr>
          <w:rFonts w:ascii="Arial" w:hAnsi="Arial" w:cs="Arial"/>
          <w:color w:val="000000"/>
          <w:lang w:val="en-CA"/>
        </w:rPr>
        <w:t>develop the action plans).</w:t>
      </w:r>
    </w:p>
    <w:p w:rsidR="00082F7E" w:rsidRDefault="00082F7E" w:rsidP="00082F7E">
      <w:pPr>
        <w:rPr>
          <w:rFonts w:ascii="Arial" w:hAnsi="Arial" w:cs="Arial"/>
          <w:color w:val="000000"/>
          <w:lang w:val="en-CA"/>
        </w:rPr>
      </w:pPr>
    </w:p>
    <w:p w:rsidR="00082F7E" w:rsidRDefault="00082F7E" w:rsidP="00082F7E">
      <w:pPr>
        <w:rPr>
          <w:rFonts w:ascii="Arial" w:hAnsi="Arial" w:cs="Arial"/>
          <w:color w:val="000000"/>
          <w:lang w:val="en-CA"/>
        </w:rPr>
      </w:pPr>
      <w:r w:rsidRPr="00082F7E">
        <w:rPr>
          <w:rFonts w:ascii="Arial" w:hAnsi="Arial" w:cs="Arial"/>
          <w:color w:val="000000"/>
          <w:lang w:val="en-CA"/>
        </w:rPr>
        <w:t>B.1) Outline the key findings of the employment systems review that was undertaken when</w:t>
      </w:r>
      <w:r w:rsidR="00B1061D">
        <w:rPr>
          <w:rFonts w:ascii="Arial" w:hAnsi="Arial" w:cs="Arial"/>
          <w:color w:val="000000"/>
          <w:lang w:val="en-CA"/>
        </w:rPr>
        <w:t xml:space="preserve"> </w:t>
      </w:r>
      <w:r w:rsidRPr="00082F7E">
        <w:rPr>
          <w:rFonts w:ascii="Arial" w:hAnsi="Arial" w:cs="Arial"/>
          <w:color w:val="000000"/>
          <w:lang w:val="en-CA"/>
        </w:rPr>
        <w:t>drafting the action plan limit 250 words:</w:t>
      </w:r>
    </w:p>
    <w:tbl>
      <w:tblPr>
        <w:tblStyle w:val="TableGrid"/>
        <w:tblW w:w="0" w:type="auto"/>
        <w:tblLook w:val="04A0" w:firstRow="1" w:lastRow="0" w:firstColumn="1" w:lastColumn="0" w:noHBand="0" w:noVBand="1"/>
      </w:tblPr>
      <w:tblGrid>
        <w:gridCol w:w="9350"/>
      </w:tblGrid>
      <w:tr w:rsidR="00082F7E" w:rsidTr="00082F7E">
        <w:tc>
          <w:tcPr>
            <w:tcW w:w="9576" w:type="dxa"/>
          </w:tcPr>
          <w:p w:rsidR="00FA5B89" w:rsidRDefault="00FA5B89" w:rsidP="00FA5B89">
            <w:pPr>
              <w:ind w:left="120"/>
            </w:pPr>
            <w:r>
              <w:t>Key findings resulting from the system review undertaken during the drafting of the action plan included:</w:t>
            </w:r>
          </w:p>
          <w:p w:rsidR="00FA5B89" w:rsidRDefault="00FA5B89" w:rsidP="00FA5B89">
            <w:pPr>
              <w:ind w:left="120"/>
            </w:pPr>
          </w:p>
          <w:p w:rsidR="00FA5B89" w:rsidRDefault="00FA5B89" w:rsidP="00FA5B89">
            <w:pPr>
              <w:widowControl w:val="0"/>
              <w:numPr>
                <w:ilvl w:val="0"/>
                <w:numId w:val="5"/>
              </w:numPr>
              <w:autoSpaceDE w:val="0"/>
              <w:autoSpaceDN w:val="0"/>
              <w:adjustRightInd w:val="0"/>
            </w:pPr>
            <w:r>
              <w:t xml:space="preserve">RMC is governed by the best practices promulgated by the Federal Treasury Board which govern all civil service hiring practices and by the guidance provided by the appropriate Deputy Minister responsible for federal hiring practices. </w:t>
            </w:r>
          </w:p>
          <w:p w:rsidR="00FA5B89" w:rsidRDefault="00FA5B89" w:rsidP="00FA5B89">
            <w:pPr>
              <w:ind w:left="480"/>
            </w:pPr>
          </w:p>
          <w:p w:rsidR="00FA5B89" w:rsidRDefault="00FA5B89" w:rsidP="00FA5B89">
            <w:pPr>
              <w:widowControl w:val="0"/>
              <w:numPr>
                <w:ilvl w:val="0"/>
                <w:numId w:val="5"/>
              </w:numPr>
              <w:autoSpaceDE w:val="0"/>
              <w:autoSpaceDN w:val="0"/>
              <w:adjustRightInd w:val="0"/>
            </w:pPr>
            <w:r>
              <w:t xml:space="preserve">The FDG target tool identified that RMC has no gaps. </w:t>
            </w:r>
          </w:p>
          <w:p w:rsidR="00FA5B89" w:rsidRDefault="00FA5B89" w:rsidP="00FA5B89">
            <w:pPr>
              <w:pStyle w:val="ListParagraph"/>
            </w:pPr>
          </w:p>
          <w:p w:rsidR="00380C4A" w:rsidRDefault="00380C4A" w:rsidP="00082F7E">
            <w:r>
              <w:t xml:space="preserve">   3)   </w:t>
            </w:r>
            <w:r w:rsidR="00FA5B89">
              <w:t>The Research Advisory Committee, which consists of representatives from several FDGs</w:t>
            </w:r>
            <w:r>
              <w:t xml:space="preserve"> </w:t>
            </w:r>
            <w:r w:rsidR="00FA5B89">
              <w:t xml:space="preserve">and </w:t>
            </w:r>
            <w:r>
              <w:t xml:space="preserve">     </w:t>
            </w:r>
          </w:p>
          <w:p w:rsidR="00380C4A" w:rsidRDefault="00380C4A" w:rsidP="00082F7E">
            <w:r>
              <w:t xml:space="preserve">          </w:t>
            </w:r>
            <w:r w:rsidR="00FA5B89">
              <w:t xml:space="preserve">other faculty, will play an increased role in developing </w:t>
            </w:r>
            <w:r>
              <w:t xml:space="preserve">approaches to filling RMC’s </w:t>
            </w:r>
            <w:r w:rsidR="00FA5B89">
              <w:t xml:space="preserve">CRC chairs under </w:t>
            </w:r>
          </w:p>
          <w:p w:rsidR="00082F7E" w:rsidRDefault="00380C4A" w:rsidP="00082F7E">
            <w:r>
              <w:t xml:space="preserve">          </w:t>
            </w:r>
            <w:r w:rsidR="00FA5B89">
              <w:t>coordination by the Vice Principal Research</w:t>
            </w:r>
            <w:r>
              <w:t>.</w:t>
            </w:r>
          </w:p>
          <w:p w:rsidR="00082F7E" w:rsidRDefault="00082F7E" w:rsidP="00082F7E"/>
        </w:tc>
      </w:tr>
    </w:tbl>
    <w:p w:rsidR="00082F7E" w:rsidRDefault="00082F7E" w:rsidP="00082F7E"/>
    <w:p w:rsidR="00082F7E" w:rsidRPr="001E0DF6" w:rsidRDefault="00082F7E" w:rsidP="00082F7E">
      <w:pPr>
        <w:rPr>
          <w:rFonts w:ascii="Arial" w:hAnsi="Arial" w:cs="Arial"/>
          <w:color w:val="000000"/>
          <w:lang w:val="en-CA"/>
        </w:rPr>
      </w:pPr>
      <w:r w:rsidRPr="001E0DF6">
        <w:rPr>
          <w:rFonts w:ascii="Arial" w:hAnsi="Arial" w:cs="Arial"/>
          <w:color w:val="000000"/>
          <w:lang w:val="en-CA"/>
        </w:rPr>
        <w:t>B.2) Outline the key findings of the comparative review that was undertaken when drafting the</w:t>
      </w:r>
      <w:r w:rsidR="00B1061D" w:rsidRPr="001E0DF6">
        <w:rPr>
          <w:rFonts w:ascii="Arial" w:hAnsi="Arial" w:cs="Arial"/>
          <w:color w:val="000000"/>
          <w:lang w:val="en-CA"/>
        </w:rPr>
        <w:t xml:space="preserve"> </w:t>
      </w:r>
      <w:r w:rsidRPr="001E0DF6">
        <w:rPr>
          <w:rFonts w:ascii="Arial" w:hAnsi="Arial" w:cs="Arial"/>
          <w:color w:val="000000"/>
          <w:lang w:val="en-CA"/>
        </w:rPr>
        <w:t>action plan (limit 250 words):</w:t>
      </w:r>
    </w:p>
    <w:tbl>
      <w:tblPr>
        <w:tblStyle w:val="TableGrid"/>
        <w:tblW w:w="0" w:type="auto"/>
        <w:tblLook w:val="04A0" w:firstRow="1" w:lastRow="0" w:firstColumn="1" w:lastColumn="0" w:noHBand="0" w:noVBand="1"/>
      </w:tblPr>
      <w:tblGrid>
        <w:gridCol w:w="9350"/>
      </w:tblGrid>
      <w:tr w:rsidR="00082F7E" w:rsidRPr="001E0DF6" w:rsidTr="00082F7E">
        <w:tc>
          <w:tcPr>
            <w:tcW w:w="9576" w:type="dxa"/>
          </w:tcPr>
          <w:p w:rsidR="00FA5B89" w:rsidRDefault="00FA5B89" w:rsidP="00FA5B89">
            <w:r>
              <w:t>The chief finding of the comparative review of best practices adopted by other universities in Canada was that RMC is uniquely subject to the full range of policies and practices associated with the hiring members of FDGs promulgated by the Federal government through law, regulations and administrative instructions that govern the civil service under the Treasury Board of Canada.</w:t>
            </w:r>
          </w:p>
          <w:p w:rsidR="00602E47" w:rsidRPr="001E0DF6" w:rsidRDefault="00602E47" w:rsidP="00082F7E">
            <w:pPr>
              <w:rPr>
                <w:rFonts w:ascii="Arial" w:hAnsi="Arial" w:cs="Arial"/>
                <w:color w:val="000000"/>
                <w:lang w:val="en-CA"/>
              </w:rPr>
            </w:pPr>
          </w:p>
        </w:tc>
      </w:tr>
    </w:tbl>
    <w:p w:rsidR="00602E47" w:rsidRPr="001E0DF6" w:rsidRDefault="00602E47" w:rsidP="00082F7E">
      <w:pPr>
        <w:rPr>
          <w:rFonts w:ascii="Arial" w:hAnsi="Arial" w:cs="Arial"/>
          <w:color w:val="000000"/>
          <w:lang w:val="en-CA"/>
        </w:rPr>
      </w:pPr>
    </w:p>
    <w:p w:rsidR="00082F7E" w:rsidRPr="001E0DF6" w:rsidRDefault="00602E47" w:rsidP="00082F7E">
      <w:pPr>
        <w:rPr>
          <w:rFonts w:ascii="Arial" w:hAnsi="Arial" w:cs="Arial"/>
          <w:color w:val="000000"/>
          <w:lang w:val="en-CA"/>
        </w:rPr>
      </w:pPr>
      <w:r w:rsidRPr="001E0DF6">
        <w:rPr>
          <w:rFonts w:ascii="Arial" w:hAnsi="Arial" w:cs="Arial"/>
          <w:color w:val="000000"/>
          <w:lang w:val="en-CA"/>
        </w:rPr>
        <w:lastRenderedPageBreak/>
        <w:t>B.3) Outline the key findings of the environmental scan that was undertaken when drafting the</w:t>
      </w:r>
      <w:r w:rsidR="00B1061D" w:rsidRPr="001E0DF6">
        <w:rPr>
          <w:rFonts w:ascii="Arial" w:hAnsi="Arial" w:cs="Arial"/>
          <w:color w:val="000000"/>
          <w:lang w:val="en-CA"/>
        </w:rPr>
        <w:t xml:space="preserve"> </w:t>
      </w:r>
      <w:r w:rsidRPr="001E0DF6">
        <w:rPr>
          <w:rFonts w:ascii="Arial" w:hAnsi="Arial" w:cs="Arial"/>
          <w:color w:val="000000"/>
          <w:lang w:val="en-CA"/>
        </w:rPr>
        <w:t>action plan (limit 250 words):</w:t>
      </w:r>
    </w:p>
    <w:tbl>
      <w:tblPr>
        <w:tblStyle w:val="TableGrid"/>
        <w:tblW w:w="0" w:type="auto"/>
        <w:tblLook w:val="04A0" w:firstRow="1" w:lastRow="0" w:firstColumn="1" w:lastColumn="0" w:noHBand="0" w:noVBand="1"/>
      </w:tblPr>
      <w:tblGrid>
        <w:gridCol w:w="9576"/>
      </w:tblGrid>
      <w:tr w:rsidR="00602E47" w:rsidRPr="001E0DF6" w:rsidTr="00602E47">
        <w:tc>
          <w:tcPr>
            <w:tcW w:w="9576" w:type="dxa"/>
          </w:tcPr>
          <w:p w:rsidR="00FA5B89" w:rsidRDefault="00FA5B89" w:rsidP="00FA5B89">
            <w:r>
              <w:t>RMC faces distinct challenges for recruiting and retaining faculty to teach and research at a bilingual institution. Nevertheless, RMC has met or surpassed its FDG objectives.</w:t>
            </w:r>
          </w:p>
          <w:p w:rsidR="00602E47" w:rsidRPr="001E0DF6" w:rsidRDefault="00602E47" w:rsidP="00082F7E">
            <w:pPr>
              <w:rPr>
                <w:rFonts w:ascii="Arial" w:hAnsi="Arial" w:cs="Arial"/>
                <w:color w:val="000000"/>
                <w:lang w:val="en-CA"/>
              </w:rPr>
            </w:pPr>
          </w:p>
        </w:tc>
      </w:tr>
    </w:tbl>
    <w:p w:rsidR="00602E47" w:rsidRPr="001E0DF6" w:rsidRDefault="00602E47" w:rsidP="00082F7E">
      <w:pPr>
        <w:rPr>
          <w:rFonts w:ascii="Arial" w:hAnsi="Arial" w:cs="Arial"/>
          <w:color w:val="000000"/>
          <w:lang w:val="en-CA"/>
        </w:rPr>
      </w:pPr>
    </w:p>
    <w:p w:rsidR="00602E47" w:rsidRPr="001E0DF6" w:rsidRDefault="00602E47" w:rsidP="00082F7E">
      <w:pPr>
        <w:rPr>
          <w:rFonts w:ascii="Arial" w:hAnsi="Arial" w:cs="Arial"/>
          <w:color w:val="000000"/>
          <w:lang w:val="en-CA"/>
        </w:rPr>
      </w:pPr>
      <w:r w:rsidRPr="001E0DF6">
        <w:rPr>
          <w:rFonts w:ascii="Arial" w:hAnsi="Arial" w:cs="Arial"/>
          <w:color w:val="000000"/>
          <w:lang w:val="en-CA"/>
        </w:rPr>
        <w:t>B.4) Provide an overview of who was consulted in the drafting of the action plan. What form did</w:t>
      </w:r>
      <w:r w:rsidR="00B1061D" w:rsidRPr="001E0DF6">
        <w:rPr>
          <w:rFonts w:ascii="Arial" w:hAnsi="Arial" w:cs="Arial"/>
          <w:color w:val="000000"/>
          <w:lang w:val="en-CA"/>
        </w:rPr>
        <w:t xml:space="preserve"> </w:t>
      </w:r>
      <w:r w:rsidRPr="001E0DF6">
        <w:rPr>
          <w:rFonts w:ascii="Arial" w:hAnsi="Arial" w:cs="Arial"/>
          <w:color w:val="000000"/>
          <w:lang w:val="en-CA"/>
        </w:rPr>
        <w:t>the consultation/engagement with members of the four designated groups (i.e. women, persons</w:t>
      </w:r>
      <w:r w:rsidR="00B1061D" w:rsidRPr="001E0DF6">
        <w:rPr>
          <w:rFonts w:ascii="Arial" w:hAnsi="Arial" w:cs="Arial"/>
          <w:color w:val="000000"/>
          <w:lang w:val="en-CA"/>
        </w:rPr>
        <w:t xml:space="preserve"> </w:t>
      </w:r>
      <w:r w:rsidRPr="001E0DF6">
        <w:rPr>
          <w:rFonts w:ascii="Arial" w:hAnsi="Arial" w:cs="Arial"/>
          <w:color w:val="000000"/>
          <w:lang w:val="en-CA"/>
        </w:rPr>
        <w:t>with disabilities, Indigenous peoples and visible minorities) and other underrepresented faculty</w:t>
      </w:r>
      <w:r w:rsidR="00B1061D" w:rsidRPr="001E0DF6">
        <w:rPr>
          <w:rFonts w:ascii="Arial" w:hAnsi="Arial" w:cs="Arial"/>
          <w:color w:val="000000"/>
          <w:lang w:val="en-CA"/>
        </w:rPr>
        <w:t xml:space="preserve"> </w:t>
      </w:r>
      <w:r w:rsidRPr="001E0DF6">
        <w:rPr>
          <w:rFonts w:ascii="Arial" w:hAnsi="Arial" w:cs="Arial"/>
          <w:color w:val="000000"/>
          <w:lang w:val="en-CA"/>
        </w:rPr>
        <w:t>take? What equity diversity and inclusion (EDI) experts were consulted? Note: Do not to</w:t>
      </w:r>
      <w:r w:rsidR="00B1061D" w:rsidRPr="001E0DF6">
        <w:rPr>
          <w:rFonts w:ascii="Arial" w:hAnsi="Arial" w:cs="Arial"/>
          <w:color w:val="000000"/>
          <w:lang w:val="en-CA"/>
        </w:rPr>
        <w:t xml:space="preserve"> </w:t>
      </w:r>
      <w:r w:rsidRPr="001E0DF6">
        <w:rPr>
          <w:rFonts w:ascii="Arial" w:hAnsi="Arial" w:cs="Arial"/>
          <w:color w:val="000000"/>
          <w:lang w:val="en-CA"/>
        </w:rPr>
        <w:t>disclose any third party personal information (limit 250 words):</w:t>
      </w:r>
    </w:p>
    <w:tbl>
      <w:tblPr>
        <w:tblStyle w:val="TableGrid"/>
        <w:tblW w:w="0" w:type="auto"/>
        <w:tblLook w:val="04A0" w:firstRow="1" w:lastRow="0" w:firstColumn="1" w:lastColumn="0" w:noHBand="0" w:noVBand="1"/>
      </w:tblPr>
      <w:tblGrid>
        <w:gridCol w:w="9576"/>
      </w:tblGrid>
      <w:tr w:rsidR="00602E47" w:rsidTr="00602E47">
        <w:tc>
          <w:tcPr>
            <w:tcW w:w="9576" w:type="dxa"/>
          </w:tcPr>
          <w:p w:rsidR="00FA5B89" w:rsidRDefault="00FA5B89" w:rsidP="00FA5B89">
            <w:r>
              <w:t>The action plan developed in 2017 was based in consultation with faculty through the Research Advisory Committee (RAC) that has representatives from the Arts, Science and Engineering faculties and is tasked with sharing and discussing such issues within and among their faculties. The local HR director and the college Equity Officer were also consulted, as was the Dean’s Council, the various Vice Principals and the College Principal. The RAC has representatives from various FDGs.</w:t>
            </w:r>
          </w:p>
          <w:p w:rsidR="00602E47" w:rsidRDefault="00602E47" w:rsidP="00082F7E"/>
        </w:tc>
      </w:tr>
    </w:tbl>
    <w:p w:rsidR="009107E2" w:rsidRDefault="009107E2" w:rsidP="008028F4">
      <w:pPr>
        <w:autoSpaceDE w:val="0"/>
        <w:autoSpaceDN w:val="0"/>
        <w:adjustRightInd w:val="0"/>
        <w:spacing w:after="0" w:line="240" w:lineRule="auto"/>
        <w:rPr>
          <w:rFonts w:ascii="Arial" w:hAnsi="Arial" w:cs="Arial"/>
          <w:b/>
          <w:bCs/>
          <w:color w:val="000000"/>
          <w:lang w:val="en-CA"/>
        </w:rPr>
      </w:pPr>
    </w:p>
    <w:p w:rsidR="009107E2" w:rsidRDefault="009107E2" w:rsidP="008028F4">
      <w:pPr>
        <w:autoSpaceDE w:val="0"/>
        <w:autoSpaceDN w:val="0"/>
        <w:adjustRightInd w:val="0"/>
        <w:spacing w:after="0" w:line="240" w:lineRule="auto"/>
        <w:rPr>
          <w:rFonts w:ascii="Arial" w:hAnsi="Arial" w:cs="Arial"/>
          <w:b/>
          <w:bCs/>
          <w:color w:val="000000"/>
          <w:lang w:val="en-CA"/>
        </w:rPr>
      </w:pPr>
    </w:p>
    <w:p w:rsidR="009107E2" w:rsidRDefault="009107E2" w:rsidP="008028F4">
      <w:pPr>
        <w:autoSpaceDE w:val="0"/>
        <w:autoSpaceDN w:val="0"/>
        <w:adjustRightInd w:val="0"/>
        <w:spacing w:after="0" w:line="240" w:lineRule="auto"/>
        <w:rPr>
          <w:rFonts w:ascii="Arial" w:hAnsi="Arial" w:cs="Arial"/>
          <w:b/>
          <w:bCs/>
          <w:color w:val="000000"/>
          <w:lang w:val="en-CA"/>
        </w:rPr>
      </w:pPr>
    </w:p>
    <w:p w:rsidR="008028F4" w:rsidRDefault="008028F4" w:rsidP="008028F4">
      <w:pPr>
        <w:autoSpaceDE w:val="0"/>
        <w:autoSpaceDN w:val="0"/>
        <w:adjustRightInd w:val="0"/>
        <w:spacing w:after="0" w:line="240" w:lineRule="auto"/>
        <w:rPr>
          <w:rFonts w:ascii="Arial" w:hAnsi="Arial" w:cs="Arial"/>
          <w:b/>
          <w:bCs/>
          <w:color w:val="000000"/>
          <w:lang w:val="en-CA"/>
        </w:rPr>
      </w:pPr>
      <w:r w:rsidRPr="008028F4">
        <w:rPr>
          <w:rFonts w:ascii="Arial" w:hAnsi="Arial" w:cs="Arial"/>
          <w:b/>
          <w:bCs/>
          <w:color w:val="000000"/>
          <w:lang w:val="en-CA"/>
        </w:rPr>
        <w:t xml:space="preserve">PART C: Objectives, Indicators and Actions </w:t>
      </w:r>
    </w:p>
    <w:p w:rsidR="008028F4" w:rsidRDefault="008028F4" w:rsidP="008028F4">
      <w:pPr>
        <w:autoSpaceDE w:val="0"/>
        <w:autoSpaceDN w:val="0"/>
        <w:adjustRightInd w:val="0"/>
        <w:spacing w:after="0" w:line="240" w:lineRule="auto"/>
        <w:rPr>
          <w:rFonts w:ascii="Arial" w:hAnsi="Arial" w:cs="Arial"/>
          <w:b/>
          <w:bCs/>
          <w:color w:val="000000"/>
          <w:lang w:val="en-CA"/>
        </w:rPr>
      </w:pPr>
    </w:p>
    <w:p w:rsidR="008028F4" w:rsidRDefault="008028F4" w:rsidP="008028F4">
      <w:pPr>
        <w:autoSpaceDE w:val="0"/>
        <w:autoSpaceDN w:val="0"/>
        <w:adjustRightInd w:val="0"/>
        <w:spacing w:after="0" w:line="240" w:lineRule="auto"/>
        <w:rPr>
          <w:rFonts w:ascii="Arial" w:hAnsi="Arial" w:cs="Arial"/>
          <w:color w:val="000000"/>
          <w:lang w:val="en-CA"/>
        </w:rPr>
      </w:pPr>
      <w:r w:rsidRPr="008028F4">
        <w:rPr>
          <w:rFonts w:ascii="Arial" w:hAnsi="Arial" w:cs="Arial"/>
          <w:color w:val="000000"/>
          <w:lang w:val="en-CA"/>
        </w:rPr>
        <w:t>Indica</w:t>
      </w:r>
      <w:r w:rsidR="006C1029">
        <w:rPr>
          <w:rFonts w:ascii="Arial" w:hAnsi="Arial" w:cs="Arial"/>
          <w:color w:val="000000"/>
          <w:lang w:val="en-CA"/>
        </w:rPr>
        <w:t>te what your institution’s top four</w:t>
      </w:r>
      <w:r w:rsidRPr="008028F4">
        <w:rPr>
          <w:rFonts w:ascii="Arial" w:hAnsi="Arial" w:cs="Arial"/>
          <w:color w:val="000000"/>
          <w:lang w:val="en-CA"/>
        </w:rPr>
        <w:t xml:space="preserve"> key EDI objectives are, as well as the corresponding indicators and actions (as indicated in the action plan). For each objective, outline what progress has been made, with reference to the indicators. Use the contextual information box to communicate any progress made to date for each objective. </w:t>
      </w:r>
    </w:p>
    <w:p w:rsidR="008028F4" w:rsidRDefault="008028F4" w:rsidP="008028F4">
      <w:pPr>
        <w:autoSpaceDE w:val="0"/>
        <w:autoSpaceDN w:val="0"/>
        <w:adjustRightInd w:val="0"/>
        <w:spacing w:after="0" w:line="240" w:lineRule="auto"/>
        <w:rPr>
          <w:rFonts w:ascii="Arial" w:hAnsi="Arial" w:cs="Arial"/>
          <w:b/>
          <w:bCs/>
          <w:color w:val="000000"/>
          <w:lang w:val="en-CA"/>
        </w:rPr>
      </w:pPr>
    </w:p>
    <w:tbl>
      <w:tblPr>
        <w:tblStyle w:val="TableGrid"/>
        <w:tblW w:w="0" w:type="auto"/>
        <w:tblLook w:val="04A0" w:firstRow="1" w:lastRow="0" w:firstColumn="1" w:lastColumn="0" w:noHBand="0" w:noVBand="1"/>
      </w:tblPr>
      <w:tblGrid>
        <w:gridCol w:w="9576"/>
      </w:tblGrid>
      <w:tr w:rsidR="008028F4" w:rsidTr="008028F4">
        <w:tc>
          <w:tcPr>
            <w:tcW w:w="9576" w:type="dxa"/>
          </w:tcPr>
          <w:p w:rsidR="008028F4" w:rsidRPr="008028F4" w:rsidRDefault="008028F4" w:rsidP="008028F4">
            <w:pPr>
              <w:pStyle w:val="Default"/>
              <w:rPr>
                <w:sz w:val="22"/>
                <w:szCs w:val="22"/>
              </w:rPr>
            </w:pPr>
            <w:r>
              <w:rPr>
                <w:b/>
                <w:bCs/>
                <w:sz w:val="22"/>
                <w:szCs w:val="22"/>
              </w:rPr>
              <w:t xml:space="preserve">Key Objective 1: </w:t>
            </w:r>
          </w:p>
        </w:tc>
      </w:tr>
      <w:tr w:rsidR="008028F4" w:rsidTr="008028F4">
        <w:tc>
          <w:tcPr>
            <w:tcW w:w="9576" w:type="dxa"/>
          </w:tcPr>
          <w:p w:rsidR="00464919" w:rsidRPr="00FA5B89" w:rsidRDefault="00FA5B89" w:rsidP="008028F4">
            <w:pPr>
              <w:autoSpaceDE w:val="0"/>
              <w:autoSpaceDN w:val="0"/>
              <w:adjustRightInd w:val="0"/>
              <w:rPr>
                <w:rFonts w:cs="Arial"/>
                <w:color w:val="000000"/>
                <w:lang w:val="en-CA"/>
              </w:rPr>
            </w:pPr>
            <w:r w:rsidRPr="00FA5B89">
              <w:rPr>
                <w:rFonts w:cs="Arial"/>
                <w:bCs/>
                <w:spacing w:val="-1"/>
              </w:rPr>
              <w:t>Redraft Equity &amp; Diversity Action Plan</w:t>
            </w:r>
          </w:p>
          <w:p w:rsidR="00464919" w:rsidRDefault="00464919" w:rsidP="008028F4">
            <w:pPr>
              <w:autoSpaceDE w:val="0"/>
              <w:autoSpaceDN w:val="0"/>
              <w:adjustRightInd w:val="0"/>
              <w:rPr>
                <w:rFonts w:ascii="Arial" w:hAnsi="Arial" w:cs="Arial"/>
                <w:color w:val="000000"/>
                <w:lang w:val="en-CA"/>
              </w:rPr>
            </w:pPr>
          </w:p>
        </w:tc>
      </w:tr>
      <w:tr w:rsidR="008028F4" w:rsidTr="008028F4">
        <w:tc>
          <w:tcPr>
            <w:tcW w:w="9576" w:type="dxa"/>
          </w:tcPr>
          <w:p w:rsidR="008028F4" w:rsidRPr="00464919" w:rsidRDefault="008028F4" w:rsidP="00464919">
            <w:pPr>
              <w:pStyle w:val="Default"/>
              <w:rPr>
                <w:sz w:val="22"/>
                <w:szCs w:val="22"/>
              </w:rPr>
            </w:pPr>
            <w:r>
              <w:rPr>
                <w:sz w:val="22"/>
                <w:szCs w:val="22"/>
              </w:rPr>
              <w:t xml:space="preserve">Corresponding actions: </w:t>
            </w:r>
          </w:p>
        </w:tc>
      </w:tr>
      <w:tr w:rsidR="008028F4" w:rsidTr="008028F4">
        <w:tc>
          <w:tcPr>
            <w:tcW w:w="9576" w:type="dxa"/>
          </w:tcPr>
          <w:p w:rsidR="00464919" w:rsidRPr="00FA5B89" w:rsidRDefault="00464919" w:rsidP="008028F4">
            <w:pPr>
              <w:autoSpaceDE w:val="0"/>
              <w:autoSpaceDN w:val="0"/>
              <w:adjustRightInd w:val="0"/>
              <w:rPr>
                <w:rFonts w:cs="Arial"/>
                <w:color w:val="000000"/>
                <w:lang w:val="en-CA"/>
              </w:rPr>
            </w:pPr>
          </w:p>
          <w:p w:rsidR="00464919" w:rsidRDefault="00FA5B89" w:rsidP="008028F4">
            <w:pPr>
              <w:autoSpaceDE w:val="0"/>
              <w:autoSpaceDN w:val="0"/>
              <w:adjustRightInd w:val="0"/>
              <w:rPr>
                <w:rFonts w:ascii="Arial" w:hAnsi="Arial" w:cs="Arial"/>
                <w:color w:val="000000"/>
                <w:lang w:val="en-CA"/>
              </w:rPr>
            </w:pPr>
            <w:r w:rsidRPr="00FA5B89">
              <w:rPr>
                <w:rFonts w:cs="Arial"/>
                <w:spacing w:val="-1"/>
              </w:rPr>
              <w:t>Initiate renewal through sub-committee of RAC</w:t>
            </w:r>
          </w:p>
        </w:tc>
      </w:tr>
      <w:tr w:rsidR="008028F4" w:rsidTr="008028F4">
        <w:tc>
          <w:tcPr>
            <w:tcW w:w="9576" w:type="dxa"/>
          </w:tcPr>
          <w:p w:rsidR="008028F4" w:rsidRPr="00464919" w:rsidRDefault="008028F4" w:rsidP="00464919">
            <w:pPr>
              <w:pStyle w:val="Default"/>
              <w:rPr>
                <w:sz w:val="22"/>
                <w:szCs w:val="22"/>
              </w:rPr>
            </w:pPr>
            <w:r>
              <w:rPr>
                <w:sz w:val="22"/>
                <w:szCs w:val="22"/>
              </w:rPr>
              <w:t xml:space="preserve">Indicator(s): </w:t>
            </w:r>
          </w:p>
        </w:tc>
      </w:tr>
      <w:tr w:rsidR="008028F4" w:rsidTr="008028F4">
        <w:tc>
          <w:tcPr>
            <w:tcW w:w="9576" w:type="dxa"/>
          </w:tcPr>
          <w:p w:rsidR="00464919" w:rsidRDefault="00464919" w:rsidP="008028F4">
            <w:pPr>
              <w:autoSpaceDE w:val="0"/>
              <w:autoSpaceDN w:val="0"/>
              <w:adjustRightInd w:val="0"/>
              <w:rPr>
                <w:rFonts w:ascii="Arial" w:hAnsi="Arial" w:cs="Arial"/>
                <w:color w:val="000000"/>
                <w:lang w:val="en-CA"/>
              </w:rPr>
            </w:pPr>
          </w:p>
          <w:p w:rsidR="00464919" w:rsidRPr="00FA5B89" w:rsidRDefault="00FA5B89" w:rsidP="008028F4">
            <w:pPr>
              <w:autoSpaceDE w:val="0"/>
              <w:autoSpaceDN w:val="0"/>
              <w:adjustRightInd w:val="0"/>
              <w:rPr>
                <w:rFonts w:cs="Arial"/>
                <w:color w:val="000000"/>
                <w:lang w:val="en-CA"/>
              </w:rPr>
            </w:pPr>
            <w:r w:rsidRPr="00FA5B89">
              <w:rPr>
                <w:rFonts w:cs="Arial"/>
                <w:spacing w:val="-1"/>
              </w:rPr>
              <w:t>Progress report to Senate</w:t>
            </w:r>
          </w:p>
        </w:tc>
      </w:tr>
      <w:tr w:rsidR="008028F4" w:rsidTr="008028F4">
        <w:tc>
          <w:tcPr>
            <w:tcW w:w="9576" w:type="dxa"/>
          </w:tcPr>
          <w:p w:rsidR="008028F4" w:rsidRPr="00464919" w:rsidRDefault="008028F4" w:rsidP="00464919">
            <w:pPr>
              <w:pStyle w:val="Default"/>
              <w:rPr>
                <w:sz w:val="22"/>
                <w:szCs w:val="22"/>
              </w:rPr>
            </w:pPr>
            <w:r>
              <w:rPr>
                <w:sz w:val="22"/>
                <w:szCs w:val="22"/>
              </w:rPr>
              <w:t xml:space="preserve">Progress: </w:t>
            </w:r>
          </w:p>
        </w:tc>
      </w:tr>
      <w:tr w:rsidR="008028F4" w:rsidTr="008028F4">
        <w:tc>
          <w:tcPr>
            <w:tcW w:w="9576" w:type="dxa"/>
          </w:tcPr>
          <w:p w:rsidR="00464919" w:rsidRDefault="00464919" w:rsidP="008028F4">
            <w:pPr>
              <w:autoSpaceDE w:val="0"/>
              <w:autoSpaceDN w:val="0"/>
              <w:adjustRightInd w:val="0"/>
              <w:rPr>
                <w:rFonts w:ascii="Arial" w:hAnsi="Arial" w:cs="Arial"/>
                <w:color w:val="000000"/>
                <w:lang w:val="en-CA"/>
              </w:rPr>
            </w:pPr>
          </w:p>
          <w:p w:rsidR="00464919" w:rsidRPr="00FA5B89" w:rsidRDefault="00FA5B89" w:rsidP="008028F4">
            <w:pPr>
              <w:autoSpaceDE w:val="0"/>
              <w:autoSpaceDN w:val="0"/>
              <w:adjustRightInd w:val="0"/>
              <w:rPr>
                <w:rFonts w:cs="Arial"/>
                <w:color w:val="000000"/>
                <w:lang w:val="en-CA"/>
              </w:rPr>
            </w:pPr>
            <w:r w:rsidRPr="00FA5B89">
              <w:rPr>
                <w:rFonts w:cs="Arial"/>
                <w:spacing w:val="-1"/>
              </w:rPr>
              <w:t>To be initiated</w:t>
            </w:r>
          </w:p>
        </w:tc>
      </w:tr>
      <w:tr w:rsidR="008028F4" w:rsidTr="008028F4">
        <w:tc>
          <w:tcPr>
            <w:tcW w:w="9576" w:type="dxa"/>
          </w:tcPr>
          <w:p w:rsidR="008028F4" w:rsidRPr="00464919" w:rsidRDefault="008028F4" w:rsidP="00464919">
            <w:pPr>
              <w:pStyle w:val="Default"/>
              <w:rPr>
                <w:sz w:val="22"/>
                <w:szCs w:val="22"/>
              </w:rPr>
            </w:pPr>
            <w:r>
              <w:rPr>
                <w:sz w:val="22"/>
                <w:szCs w:val="22"/>
              </w:rPr>
              <w:t xml:space="preserve">Next steps: </w:t>
            </w:r>
          </w:p>
        </w:tc>
      </w:tr>
      <w:tr w:rsidR="008028F4" w:rsidTr="008028F4">
        <w:tc>
          <w:tcPr>
            <w:tcW w:w="9576" w:type="dxa"/>
          </w:tcPr>
          <w:p w:rsidR="00FA5B89" w:rsidRDefault="00FA5B89" w:rsidP="008028F4">
            <w:pPr>
              <w:autoSpaceDE w:val="0"/>
              <w:autoSpaceDN w:val="0"/>
              <w:adjustRightInd w:val="0"/>
              <w:rPr>
                <w:rFonts w:ascii="Arial" w:hAnsi="Arial" w:cs="Arial"/>
                <w:spacing w:val="-1"/>
              </w:rPr>
            </w:pPr>
          </w:p>
          <w:p w:rsidR="00464919" w:rsidRPr="00FA5B89" w:rsidRDefault="00FA5B89" w:rsidP="00FA5B89">
            <w:pPr>
              <w:autoSpaceDE w:val="0"/>
              <w:autoSpaceDN w:val="0"/>
              <w:adjustRightInd w:val="0"/>
              <w:rPr>
                <w:rFonts w:cs="Arial"/>
                <w:color w:val="000000"/>
                <w:lang w:val="en-CA"/>
              </w:rPr>
            </w:pPr>
            <w:r w:rsidRPr="00FA5B89">
              <w:rPr>
                <w:rFonts w:cs="Arial"/>
                <w:spacing w:val="-1"/>
              </w:rPr>
              <w:t>Initiate</w:t>
            </w:r>
          </w:p>
        </w:tc>
      </w:tr>
      <w:tr w:rsidR="008028F4" w:rsidTr="008028F4">
        <w:tc>
          <w:tcPr>
            <w:tcW w:w="9576" w:type="dxa"/>
          </w:tcPr>
          <w:p w:rsidR="008028F4" w:rsidRPr="00464919" w:rsidRDefault="008028F4" w:rsidP="00464919">
            <w:pPr>
              <w:pStyle w:val="Default"/>
              <w:rPr>
                <w:sz w:val="22"/>
                <w:szCs w:val="22"/>
              </w:rPr>
            </w:pPr>
            <w:r w:rsidRPr="008028F4">
              <w:rPr>
                <w:sz w:val="22"/>
                <w:szCs w:val="22"/>
                <w:lang w:val="fr-CA"/>
              </w:rPr>
              <w:t xml:space="preserve">Contextual information (e.g., course correction, obstacles, early wins, etc.) </w:t>
            </w:r>
            <w:r>
              <w:rPr>
                <w:sz w:val="22"/>
                <w:szCs w:val="22"/>
              </w:rPr>
              <w:t xml:space="preserve">(limit 80 words): </w:t>
            </w:r>
          </w:p>
        </w:tc>
      </w:tr>
      <w:tr w:rsidR="008028F4" w:rsidTr="008028F4">
        <w:tc>
          <w:tcPr>
            <w:tcW w:w="9576" w:type="dxa"/>
          </w:tcPr>
          <w:p w:rsidR="00464919" w:rsidRDefault="00464919" w:rsidP="008028F4">
            <w:pPr>
              <w:autoSpaceDE w:val="0"/>
              <w:autoSpaceDN w:val="0"/>
              <w:adjustRightInd w:val="0"/>
              <w:rPr>
                <w:rFonts w:ascii="Arial" w:hAnsi="Arial" w:cs="Arial"/>
                <w:color w:val="000000"/>
                <w:lang w:val="en-CA"/>
              </w:rPr>
            </w:pPr>
          </w:p>
          <w:p w:rsidR="00464919" w:rsidRDefault="00464919" w:rsidP="008028F4">
            <w:pPr>
              <w:autoSpaceDE w:val="0"/>
              <w:autoSpaceDN w:val="0"/>
              <w:adjustRightInd w:val="0"/>
              <w:rPr>
                <w:rFonts w:ascii="Arial" w:hAnsi="Arial" w:cs="Arial"/>
                <w:color w:val="000000"/>
                <w:lang w:val="en-CA"/>
              </w:rPr>
            </w:pPr>
          </w:p>
        </w:tc>
      </w:tr>
    </w:tbl>
    <w:p w:rsidR="008028F4" w:rsidRDefault="008028F4" w:rsidP="008028F4">
      <w:pPr>
        <w:autoSpaceDE w:val="0"/>
        <w:autoSpaceDN w:val="0"/>
        <w:adjustRightInd w:val="0"/>
        <w:spacing w:after="0" w:line="240" w:lineRule="auto"/>
        <w:rPr>
          <w:rFonts w:ascii="Arial" w:hAnsi="Arial" w:cs="Arial"/>
          <w:color w:val="000000"/>
          <w:lang w:val="en-CA"/>
        </w:rPr>
      </w:pPr>
    </w:p>
    <w:p w:rsidR="00464919" w:rsidRDefault="00464919" w:rsidP="008028F4">
      <w:pPr>
        <w:autoSpaceDE w:val="0"/>
        <w:autoSpaceDN w:val="0"/>
        <w:adjustRightInd w:val="0"/>
        <w:spacing w:after="0" w:line="240" w:lineRule="auto"/>
        <w:rPr>
          <w:rFonts w:ascii="Arial" w:hAnsi="Arial" w:cs="Arial"/>
          <w:color w:val="000000"/>
          <w:lang w:val="en-CA"/>
        </w:rPr>
      </w:pPr>
    </w:p>
    <w:p w:rsidR="00464919" w:rsidRPr="008028F4" w:rsidRDefault="00464919" w:rsidP="008028F4">
      <w:pPr>
        <w:autoSpaceDE w:val="0"/>
        <w:autoSpaceDN w:val="0"/>
        <w:adjustRightInd w:val="0"/>
        <w:spacing w:after="0" w:line="240" w:lineRule="auto"/>
        <w:rPr>
          <w:rFonts w:ascii="Arial" w:hAnsi="Arial" w:cs="Arial"/>
          <w:color w:val="000000"/>
          <w:lang w:val="en-CA"/>
        </w:rPr>
      </w:pPr>
    </w:p>
    <w:tbl>
      <w:tblPr>
        <w:tblStyle w:val="TableGrid"/>
        <w:tblW w:w="0" w:type="auto"/>
        <w:tblLook w:val="04A0" w:firstRow="1" w:lastRow="0" w:firstColumn="1" w:lastColumn="0" w:noHBand="0" w:noVBand="1"/>
      </w:tblPr>
      <w:tblGrid>
        <w:gridCol w:w="9576"/>
      </w:tblGrid>
      <w:tr w:rsidR="00464919" w:rsidTr="00703F00">
        <w:tc>
          <w:tcPr>
            <w:tcW w:w="9576" w:type="dxa"/>
          </w:tcPr>
          <w:p w:rsidR="00464919" w:rsidRPr="008028F4" w:rsidRDefault="00464919" w:rsidP="00464919">
            <w:pPr>
              <w:pStyle w:val="Default"/>
              <w:rPr>
                <w:sz w:val="22"/>
                <w:szCs w:val="22"/>
              </w:rPr>
            </w:pPr>
            <w:r>
              <w:rPr>
                <w:b/>
                <w:bCs/>
                <w:sz w:val="22"/>
                <w:szCs w:val="22"/>
              </w:rPr>
              <w:t xml:space="preserve">Key Objective 2: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FA5B89" w:rsidP="00703F00">
            <w:pPr>
              <w:autoSpaceDE w:val="0"/>
              <w:autoSpaceDN w:val="0"/>
              <w:adjustRightInd w:val="0"/>
              <w:rPr>
                <w:rFonts w:ascii="Arial" w:hAnsi="Arial" w:cs="Arial"/>
                <w:color w:val="000000"/>
                <w:lang w:val="en-CA"/>
              </w:rPr>
            </w:pPr>
            <w:r>
              <w:t>Consult RAC on potential to fill empty CRC chairs</w:t>
            </w:r>
          </w:p>
        </w:tc>
      </w:tr>
      <w:tr w:rsidR="00464919" w:rsidTr="00703F00">
        <w:tc>
          <w:tcPr>
            <w:tcW w:w="9576" w:type="dxa"/>
          </w:tcPr>
          <w:p w:rsidR="00464919" w:rsidRPr="00464919" w:rsidRDefault="00464919" w:rsidP="00703F00">
            <w:pPr>
              <w:pStyle w:val="Default"/>
              <w:rPr>
                <w:sz w:val="22"/>
                <w:szCs w:val="22"/>
              </w:rPr>
            </w:pPr>
            <w:r>
              <w:rPr>
                <w:sz w:val="22"/>
                <w:szCs w:val="22"/>
              </w:rPr>
              <w:t xml:space="preserve">Corresponding actions: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FA5B89" w:rsidP="00703F00">
            <w:pPr>
              <w:autoSpaceDE w:val="0"/>
              <w:autoSpaceDN w:val="0"/>
              <w:adjustRightInd w:val="0"/>
              <w:rPr>
                <w:rFonts w:ascii="Arial" w:hAnsi="Arial" w:cs="Arial"/>
                <w:color w:val="000000"/>
                <w:lang w:val="en-CA"/>
              </w:rPr>
            </w:pPr>
            <w:r>
              <w:t>Consult RAC on potential to fill empty CRC chairs</w:t>
            </w:r>
          </w:p>
        </w:tc>
      </w:tr>
      <w:tr w:rsidR="00464919" w:rsidTr="00703F00">
        <w:tc>
          <w:tcPr>
            <w:tcW w:w="9576" w:type="dxa"/>
          </w:tcPr>
          <w:p w:rsidR="00464919" w:rsidRPr="00464919" w:rsidRDefault="00464919" w:rsidP="00703F00">
            <w:pPr>
              <w:pStyle w:val="Default"/>
              <w:rPr>
                <w:sz w:val="22"/>
                <w:szCs w:val="22"/>
              </w:rPr>
            </w:pPr>
            <w:r>
              <w:rPr>
                <w:sz w:val="22"/>
                <w:szCs w:val="22"/>
              </w:rPr>
              <w:t xml:space="preserve">Indicator(s):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Pr="00FA5B89" w:rsidRDefault="00FA5B89" w:rsidP="00FA5B89">
            <w:pPr>
              <w:spacing w:after="160" w:line="259" w:lineRule="auto"/>
            </w:pPr>
            <w:r>
              <w:t xml:space="preserve">  Manifest on RAC meeting agenda</w:t>
            </w:r>
          </w:p>
        </w:tc>
      </w:tr>
      <w:tr w:rsidR="00464919" w:rsidTr="00703F00">
        <w:tc>
          <w:tcPr>
            <w:tcW w:w="9576" w:type="dxa"/>
          </w:tcPr>
          <w:p w:rsidR="00464919" w:rsidRPr="00464919" w:rsidRDefault="00464919" w:rsidP="00703F00">
            <w:pPr>
              <w:pStyle w:val="Default"/>
              <w:rPr>
                <w:sz w:val="22"/>
                <w:szCs w:val="22"/>
              </w:rPr>
            </w:pPr>
            <w:r>
              <w:rPr>
                <w:sz w:val="22"/>
                <w:szCs w:val="22"/>
              </w:rPr>
              <w:t xml:space="preserve">Progress: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FA5B89" w:rsidP="00703F00">
            <w:pPr>
              <w:autoSpaceDE w:val="0"/>
              <w:autoSpaceDN w:val="0"/>
              <w:adjustRightInd w:val="0"/>
              <w:rPr>
                <w:rFonts w:ascii="Arial" w:hAnsi="Arial" w:cs="Arial"/>
                <w:color w:val="000000"/>
                <w:lang w:val="en-CA"/>
              </w:rPr>
            </w:pPr>
            <w:r>
              <w:t>To be initiated</w:t>
            </w:r>
          </w:p>
        </w:tc>
      </w:tr>
      <w:tr w:rsidR="00464919" w:rsidTr="00703F00">
        <w:tc>
          <w:tcPr>
            <w:tcW w:w="9576" w:type="dxa"/>
          </w:tcPr>
          <w:p w:rsidR="00464919" w:rsidRPr="00464919" w:rsidRDefault="00464919" w:rsidP="00703F00">
            <w:pPr>
              <w:pStyle w:val="Default"/>
              <w:rPr>
                <w:sz w:val="22"/>
                <w:szCs w:val="22"/>
              </w:rPr>
            </w:pPr>
            <w:r>
              <w:rPr>
                <w:sz w:val="22"/>
                <w:szCs w:val="22"/>
              </w:rPr>
              <w:t xml:space="preserve">Next steps: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FA5B89" w:rsidP="00703F00">
            <w:pPr>
              <w:autoSpaceDE w:val="0"/>
              <w:autoSpaceDN w:val="0"/>
              <w:adjustRightInd w:val="0"/>
              <w:rPr>
                <w:rFonts w:ascii="Arial" w:hAnsi="Arial" w:cs="Arial"/>
                <w:color w:val="000000"/>
                <w:lang w:val="en-CA"/>
              </w:rPr>
            </w:pPr>
            <w:r>
              <w:t>Results briefed to Deans/ Principal</w:t>
            </w:r>
          </w:p>
        </w:tc>
      </w:tr>
      <w:tr w:rsidR="00464919" w:rsidTr="00703F00">
        <w:tc>
          <w:tcPr>
            <w:tcW w:w="9576" w:type="dxa"/>
          </w:tcPr>
          <w:p w:rsidR="00464919" w:rsidRPr="00464919" w:rsidRDefault="00464919" w:rsidP="00703F00">
            <w:pPr>
              <w:pStyle w:val="Default"/>
              <w:rPr>
                <w:sz w:val="22"/>
                <w:szCs w:val="22"/>
              </w:rPr>
            </w:pPr>
            <w:r w:rsidRPr="008028F4">
              <w:rPr>
                <w:sz w:val="22"/>
                <w:szCs w:val="22"/>
                <w:lang w:val="fr-CA"/>
              </w:rPr>
              <w:t xml:space="preserve">Contextual information (e.g., course correction, obstacles, early wins, etc.) </w:t>
            </w:r>
            <w:r>
              <w:rPr>
                <w:sz w:val="22"/>
                <w:szCs w:val="22"/>
              </w:rPr>
              <w:t xml:space="preserve">(limit 80 words):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464919" w:rsidP="00703F00">
            <w:pPr>
              <w:autoSpaceDE w:val="0"/>
              <w:autoSpaceDN w:val="0"/>
              <w:adjustRightInd w:val="0"/>
              <w:rPr>
                <w:rFonts w:ascii="Arial" w:hAnsi="Arial" w:cs="Arial"/>
                <w:color w:val="000000"/>
                <w:lang w:val="en-CA"/>
              </w:rPr>
            </w:pPr>
          </w:p>
        </w:tc>
      </w:tr>
    </w:tbl>
    <w:p w:rsidR="00602E47" w:rsidRDefault="00602E47" w:rsidP="00082F7E"/>
    <w:p w:rsidR="00602E47" w:rsidRDefault="00602E47" w:rsidP="00082F7E"/>
    <w:tbl>
      <w:tblPr>
        <w:tblStyle w:val="TableGrid"/>
        <w:tblW w:w="0" w:type="auto"/>
        <w:tblLook w:val="04A0" w:firstRow="1" w:lastRow="0" w:firstColumn="1" w:lastColumn="0" w:noHBand="0" w:noVBand="1"/>
      </w:tblPr>
      <w:tblGrid>
        <w:gridCol w:w="9576"/>
      </w:tblGrid>
      <w:tr w:rsidR="00464919" w:rsidTr="00703F00">
        <w:tc>
          <w:tcPr>
            <w:tcW w:w="9576" w:type="dxa"/>
          </w:tcPr>
          <w:p w:rsidR="00464919" w:rsidRPr="008028F4" w:rsidRDefault="00464919" w:rsidP="00703F00">
            <w:pPr>
              <w:pStyle w:val="Default"/>
              <w:rPr>
                <w:sz w:val="22"/>
                <w:szCs w:val="22"/>
              </w:rPr>
            </w:pPr>
            <w:r>
              <w:rPr>
                <w:b/>
                <w:bCs/>
                <w:sz w:val="22"/>
                <w:szCs w:val="22"/>
              </w:rPr>
              <w:t xml:space="preserve">Key Objective 3: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FA5B89" w:rsidP="00703F00">
            <w:pPr>
              <w:autoSpaceDE w:val="0"/>
              <w:autoSpaceDN w:val="0"/>
              <w:adjustRightInd w:val="0"/>
              <w:rPr>
                <w:rFonts w:ascii="Arial" w:hAnsi="Arial" w:cs="Arial"/>
                <w:color w:val="000000"/>
                <w:lang w:val="en-CA"/>
              </w:rPr>
            </w:pPr>
            <w:r>
              <w:t>Advertise for CRC vacancies</w:t>
            </w:r>
          </w:p>
        </w:tc>
      </w:tr>
      <w:tr w:rsidR="00464919" w:rsidTr="00703F00">
        <w:tc>
          <w:tcPr>
            <w:tcW w:w="9576" w:type="dxa"/>
          </w:tcPr>
          <w:p w:rsidR="00464919" w:rsidRPr="00464919" w:rsidRDefault="00464919" w:rsidP="00703F00">
            <w:pPr>
              <w:pStyle w:val="Default"/>
              <w:rPr>
                <w:sz w:val="22"/>
                <w:szCs w:val="22"/>
              </w:rPr>
            </w:pPr>
            <w:r>
              <w:rPr>
                <w:sz w:val="22"/>
                <w:szCs w:val="22"/>
              </w:rPr>
              <w:t xml:space="preserve">Corresponding actions: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FA5B89" w:rsidP="00703F00">
            <w:pPr>
              <w:autoSpaceDE w:val="0"/>
              <w:autoSpaceDN w:val="0"/>
              <w:adjustRightInd w:val="0"/>
              <w:rPr>
                <w:rFonts w:ascii="Arial" w:hAnsi="Arial" w:cs="Arial"/>
                <w:color w:val="000000"/>
                <w:lang w:val="en-CA"/>
              </w:rPr>
            </w:pPr>
            <w:r>
              <w:t>Determine internal or external searches</w:t>
            </w:r>
          </w:p>
        </w:tc>
      </w:tr>
      <w:tr w:rsidR="00464919" w:rsidTr="00703F00">
        <w:tc>
          <w:tcPr>
            <w:tcW w:w="9576" w:type="dxa"/>
          </w:tcPr>
          <w:p w:rsidR="00464919" w:rsidRPr="00464919" w:rsidRDefault="00464919" w:rsidP="00703F00">
            <w:pPr>
              <w:pStyle w:val="Default"/>
              <w:rPr>
                <w:sz w:val="22"/>
                <w:szCs w:val="22"/>
              </w:rPr>
            </w:pPr>
            <w:r>
              <w:rPr>
                <w:sz w:val="22"/>
                <w:szCs w:val="22"/>
              </w:rPr>
              <w:t xml:space="preserve">Indicator(s):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Pr="00FA5B89" w:rsidRDefault="00FA5B89" w:rsidP="00703F00">
            <w:pPr>
              <w:autoSpaceDE w:val="0"/>
              <w:autoSpaceDN w:val="0"/>
              <w:adjustRightInd w:val="0"/>
              <w:rPr>
                <w:rFonts w:cs="Arial"/>
                <w:color w:val="000000"/>
                <w:lang w:val="en-CA"/>
              </w:rPr>
            </w:pPr>
            <w:r w:rsidRPr="00FA5B89">
              <w:rPr>
                <w:rFonts w:cs="Arial"/>
                <w:spacing w:val="-1"/>
              </w:rPr>
              <w:t>Report to Dean’s council</w:t>
            </w:r>
          </w:p>
        </w:tc>
      </w:tr>
      <w:tr w:rsidR="00464919" w:rsidTr="00703F00">
        <w:tc>
          <w:tcPr>
            <w:tcW w:w="9576" w:type="dxa"/>
          </w:tcPr>
          <w:p w:rsidR="00464919" w:rsidRPr="00464919" w:rsidRDefault="00464919" w:rsidP="00703F00">
            <w:pPr>
              <w:pStyle w:val="Default"/>
              <w:rPr>
                <w:sz w:val="22"/>
                <w:szCs w:val="22"/>
              </w:rPr>
            </w:pPr>
            <w:r>
              <w:rPr>
                <w:sz w:val="22"/>
                <w:szCs w:val="22"/>
              </w:rPr>
              <w:t xml:space="preserve">Progress: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464919" w:rsidP="00703F00">
            <w:pPr>
              <w:autoSpaceDE w:val="0"/>
              <w:autoSpaceDN w:val="0"/>
              <w:adjustRightInd w:val="0"/>
              <w:rPr>
                <w:rFonts w:ascii="Arial" w:hAnsi="Arial" w:cs="Arial"/>
                <w:color w:val="000000"/>
                <w:lang w:val="en-CA"/>
              </w:rPr>
            </w:pPr>
          </w:p>
        </w:tc>
      </w:tr>
      <w:tr w:rsidR="00464919" w:rsidTr="00703F00">
        <w:tc>
          <w:tcPr>
            <w:tcW w:w="9576" w:type="dxa"/>
          </w:tcPr>
          <w:p w:rsidR="00464919" w:rsidRPr="00464919" w:rsidRDefault="00464919" w:rsidP="00703F00">
            <w:pPr>
              <w:pStyle w:val="Default"/>
              <w:rPr>
                <w:sz w:val="22"/>
                <w:szCs w:val="22"/>
              </w:rPr>
            </w:pPr>
            <w:r>
              <w:rPr>
                <w:sz w:val="22"/>
                <w:szCs w:val="22"/>
              </w:rPr>
              <w:t xml:space="preserve">Next steps: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464919" w:rsidP="00703F00">
            <w:pPr>
              <w:autoSpaceDE w:val="0"/>
              <w:autoSpaceDN w:val="0"/>
              <w:adjustRightInd w:val="0"/>
              <w:rPr>
                <w:rFonts w:ascii="Arial" w:hAnsi="Arial" w:cs="Arial"/>
                <w:color w:val="000000"/>
                <w:lang w:val="en-CA"/>
              </w:rPr>
            </w:pPr>
          </w:p>
        </w:tc>
      </w:tr>
      <w:tr w:rsidR="00464919" w:rsidTr="00703F00">
        <w:tc>
          <w:tcPr>
            <w:tcW w:w="9576" w:type="dxa"/>
          </w:tcPr>
          <w:p w:rsidR="00464919" w:rsidRPr="00464919" w:rsidRDefault="00464919" w:rsidP="00703F00">
            <w:pPr>
              <w:pStyle w:val="Default"/>
              <w:rPr>
                <w:sz w:val="22"/>
                <w:szCs w:val="22"/>
              </w:rPr>
            </w:pPr>
            <w:r w:rsidRPr="008028F4">
              <w:rPr>
                <w:sz w:val="22"/>
                <w:szCs w:val="22"/>
                <w:lang w:val="fr-CA"/>
              </w:rPr>
              <w:t xml:space="preserve">Contextual information (e.g., course correction, obstacles, early wins, etc.) </w:t>
            </w:r>
            <w:r>
              <w:rPr>
                <w:sz w:val="22"/>
                <w:szCs w:val="22"/>
              </w:rPr>
              <w:t xml:space="preserve">(limit 80 words):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464919" w:rsidP="00703F00">
            <w:pPr>
              <w:autoSpaceDE w:val="0"/>
              <w:autoSpaceDN w:val="0"/>
              <w:adjustRightInd w:val="0"/>
              <w:rPr>
                <w:rFonts w:ascii="Arial" w:hAnsi="Arial" w:cs="Arial"/>
                <w:color w:val="000000"/>
                <w:lang w:val="en-CA"/>
              </w:rPr>
            </w:pPr>
          </w:p>
        </w:tc>
      </w:tr>
    </w:tbl>
    <w:p w:rsidR="00464919" w:rsidRDefault="00464919" w:rsidP="00082F7E"/>
    <w:p w:rsidR="00464919" w:rsidRDefault="00464919" w:rsidP="00082F7E"/>
    <w:p w:rsidR="00FA5B89" w:rsidRDefault="00FA5B89" w:rsidP="00082F7E"/>
    <w:tbl>
      <w:tblPr>
        <w:tblStyle w:val="TableGrid"/>
        <w:tblW w:w="0" w:type="auto"/>
        <w:tblLook w:val="04A0" w:firstRow="1" w:lastRow="0" w:firstColumn="1" w:lastColumn="0" w:noHBand="0" w:noVBand="1"/>
      </w:tblPr>
      <w:tblGrid>
        <w:gridCol w:w="9576"/>
      </w:tblGrid>
      <w:tr w:rsidR="00464919" w:rsidTr="00703F00">
        <w:tc>
          <w:tcPr>
            <w:tcW w:w="9576" w:type="dxa"/>
          </w:tcPr>
          <w:p w:rsidR="00464919" w:rsidRPr="008028F4" w:rsidRDefault="00464919" w:rsidP="00464919">
            <w:pPr>
              <w:pStyle w:val="Default"/>
              <w:rPr>
                <w:sz w:val="22"/>
                <w:szCs w:val="22"/>
              </w:rPr>
            </w:pPr>
            <w:r>
              <w:rPr>
                <w:b/>
                <w:bCs/>
                <w:sz w:val="22"/>
                <w:szCs w:val="22"/>
              </w:rPr>
              <w:lastRenderedPageBreak/>
              <w:t xml:space="preserve">Key Objective 4: </w:t>
            </w:r>
          </w:p>
        </w:tc>
      </w:tr>
      <w:tr w:rsidR="00464919" w:rsidTr="00703F00">
        <w:tc>
          <w:tcPr>
            <w:tcW w:w="9576" w:type="dxa"/>
          </w:tcPr>
          <w:p w:rsidR="00FA5B89" w:rsidRDefault="00FA5B89" w:rsidP="00FA5B89">
            <w:r>
              <w:t>Although not articulated in our current action plan RMC has met or surpassed the required levels of participation by FDGs within the CRC program and will strive to ensure it continues to do so.</w:t>
            </w:r>
          </w:p>
          <w:p w:rsidR="00464919" w:rsidRDefault="00464919" w:rsidP="00703F00">
            <w:pPr>
              <w:autoSpaceDE w:val="0"/>
              <w:autoSpaceDN w:val="0"/>
              <w:adjustRightInd w:val="0"/>
              <w:rPr>
                <w:rFonts w:ascii="Arial" w:hAnsi="Arial" w:cs="Arial"/>
                <w:color w:val="000000"/>
                <w:lang w:val="en-CA"/>
              </w:rPr>
            </w:pPr>
          </w:p>
        </w:tc>
      </w:tr>
      <w:tr w:rsidR="00464919" w:rsidTr="00703F00">
        <w:tc>
          <w:tcPr>
            <w:tcW w:w="9576" w:type="dxa"/>
          </w:tcPr>
          <w:p w:rsidR="00464919" w:rsidRPr="00464919" w:rsidRDefault="00464919" w:rsidP="00703F00">
            <w:pPr>
              <w:pStyle w:val="Default"/>
              <w:rPr>
                <w:sz w:val="22"/>
                <w:szCs w:val="22"/>
              </w:rPr>
            </w:pPr>
            <w:r>
              <w:rPr>
                <w:sz w:val="22"/>
                <w:szCs w:val="22"/>
              </w:rPr>
              <w:t xml:space="preserve">Corresponding actions: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Pr="00FA5B89" w:rsidRDefault="00FA5B89" w:rsidP="00703F00">
            <w:pPr>
              <w:autoSpaceDE w:val="0"/>
              <w:autoSpaceDN w:val="0"/>
              <w:adjustRightInd w:val="0"/>
              <w:rPr>
                <w:rFonts w:cs="Arial"/>
                <w:color w:val="000000"/>
                <w:lang w:val="en-CA"/>
              </w:rPr>
            </w:pPr>
            <w:r w:rsidRPr="00FA5B89">
              <w:rPr>
                <w:rFonts w:cs="Arial"/>
                <w:spacing w:val="-1"/>
              </w:rPr>
              <w:t>Annual review</w:t>
            </w:r>
          </w:p>
        </w:tc>
      </w:tr>
      <w:tr w:rsidR="00464919" w:rsidTr="00703F00">
        <w:tc>
          <w:tcPr>
            <w:tcW w:w="9576" w:type="dxa"/>
          </w:tcPr>
          <w:p w:rsidR="00464919" w:rsidRPr="00464919" w:rsidRDefault="00464919" w:rsidP="00703F00">
            <w:pPr>
              <w:pStyle w:val="Default"/>
              <w:rPr>
                <w:sz w:val="22"/>
                <w:szCs w:val="22"/>
              </w:rPr>
            </w:pPr>
            <w:r>
              <w:rPr>
                <w:sz w:val="22"/>
                <w:szCs w:val="22"/>
              </w:rPr>
              <w:t xml:space="preserve">Indicator(s):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464919" w:rsidP="00703F00">
            <w:pPr>
              <w:autoSpaceDE w:val="0"/>
              <w:autoSpaceDN w:val="0"/>
              <w:adjustRightInd w:val="0"/>
              <w:rPr>
                <w:rFonts w:ascii="Arial" w:hAnsi="Arial" w:cs="Arial"/>
                <w:color w:val="000000"/>
                <w:lang w:val="en-CA"/>
              </w:rPr>
            </w:pPr>
          </w:p>
        </w:tc>
      </w:tr>
      <w:tr w:rsidR="00464919" w:rsidTr="00703F00">
        <w:tc>
          <w:tcPr>
            <w:tcW w:w="9576" w:type="dxa"/>
          </w:tcPr>
          <w:p w:rsidR="00464919" w:rsidRPr="00464919" w:rsidRDefault="00464919" w:rsidP="00703F00">
            <w:pPr>
              <w:pStyle w:val="Default"/>
              <w:rPr>
                <w:sz w:val="22"/>
                <w:szCs w:val="22"/>
              </w:rPr>
            </w:pPr>
            <w:r>
              <w:rPr>
                <w:sz w:val="22"/>
                <w:szCs w:val="22"/>
              </w:rPr>
              <w:t xml:space="preserve">Progress: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464919" w:rsidP="00703F00">
            <w:pPr>
              <w:autoSpaceDE w:val="0"/>
              <w:autoSpaceDN w:val="0"/>
              <w:adjustRightInd w:val="0"/>
              <w:rPr>
                <w:rFonts w:ascii="Arial" w:hAnsi="Arial" w:cs="Arial"/>
                <w:color w:val="000000"/>
                <w:lang w:val="en-CA"/>
              </w:rPr>
            </w:pPr>
          </w:p>
        </w:tc>
      </w:tr>
      <w:tr w:rsidR="00464919" w:rsidTr="00703F00">
        <w:tc>
          <w:tcPr>
            <w:tcW w:w="9576" w:type="dxa"/>
          </w:tcPr>
          <w:p w:rsidR="00464919" w:rsidRPr="00464919" w:rsidRDefault="00464919" w:rsidP="00703F00">
            <w:pPr>
              <w:pStyle w:val="Default"/>
              <w:rPr>
                <w:sz w:val="22"/>
                <w:szCs w:val="22"/>
              </w:rPr>
            </w:pPr>
            <w:r>
              <w:rPr>
                <w:sz w:val="22"/>
                <w:szCs w:val="22"/>
              </w:rPr>
              <w:t xml:space="preserve">Next steps: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464919" w:rsidP="00703F00">
            <w:pPr>
              <w:autoSpaceDE w:val="0"/>
              <w:autoSpaceDN w:val="0"/>
              <w:adjustRightInd w:val="0"/>
              <w:rPr>
                <w:rFonts w:ascii="Arial" w:hAnsi="Arial" w:cs="Arial"/>
                <w:color w:val="000000"/>
                <w:lang w:val="en-CA"/>
              </w:rPr>
            </w:pPr>
          </w:p>
        </w:tc>
      </w:tr>
      <w:tr w:rsidR="00464919" w:rsidTr="00703F00">
        <w:tc>
          <w:tcPr>
            <w:tcW w:w="9576" w:type="dxa"/>
          </w:tcPr>
          <w:p w:rsidR="00464919" w:rsidRPr="00464919" w:rsidRDefault="00464919" w:rsidP="00703F00">
            <w:pPr>
              <w:pStyle w:val="Default"/>
              <w:rPr>
                <w:sz w:val="22"/>
                <w:szCs w:val="22"/>
              </w:rPr>
            </w:pPr>
            <w:r w:rsidRPr="008028F4">
              <w:rPr>
                <w:sz w:val="22"/>
                <w:szCs w:val="22"/>
                <w:lang w:val="fr-CA"/>
              </w:rPr>
              <w:t xml:space="preserve">Contextual information (e.g., course correction, obstacles, early wins, etc.) </w:t>
            </w:r>
            <w:r>
              <w:rPr>
                <w:sz w:val="22"/>
                <w:szCs w:val="22"/>
              </w:rPr>
              <w:t xml:space="preserve">(limit 80 words): </w:t>
            </w:r>
          </w:p>
        </w:tc>
      </w:tr>
      <w:tr w:rsidR="00464919" w:rsidTr="00703F00">
        <w:tc>
          <w:tcPr>
            <w:tcW w:w="9576" w:type="dxa"/>
          </w:tcPr>
          <w:p w:rsidR="00464919" w:rsidRDefault="00464919" w:rsidP="00703F00">
            <w:pPr>
              <w:autoSpaceDE w:val="0"/>
              <w:autoSpaceDN w:val="0"/>
              <w:adjustRightInd w:val="0"/>
              <w:rPr>
                <w:rFonts w:ascii="Arial" w:hAnsi="Arial" w:cs="Arial"/>
                <w:color w:val="000000"/>
                <w:lang w:val="en-CA"/>
              </w:rPr>
            </w:pPr>
          </w:p>
          <w:p w:rsidR="00464919" w:rsidRDefault="00464919" w:rsidP="00703F00">
            <w:pPr>
              <w:autoSpaceDE w:val="0"/>
              <w:autoSpaceDN w:val="0"/>
              <w:adjustRightInd w:val="0"/>
              <w:rPr>
                <w:rFonts w:ascii="Arial" w:hAnsi="Arial" w:cs="Arial"/>
                <w:color w:val="000000"/>
                <w:lang w:val="en-CA"/>
              </w:rPr>
            </w:pPr>
          </w:p>
        </w:tc>
      </w:tr>
    </w:tbl>
    <w:p w:rsidR="00464919" w:rsidRDefault="00464919" w:rsidP="00082F7E"/>
    <w:p w:rsidR="00464919" w:rsidRDefault="00464919" w:rsidP="00464919">
      <w:pPr>
        <w:autoSpaceDE w:val="0"/>
        <w:autoSpaceDN w:val="0"/>
        <w:adjustRightInd w:val="0"/>
        <w:spacing w:after="0" w:line="240" w:lineRule="auto"/>
        <w:rPr>
          <w:rFonts w:ascii="Arial" w:hAnsi="Arial" w:cs="Arial"/>
          <w:b/>
          <w:bCs/>
          <w:color w:val="000000"/>
          <w:lang w:val="en-CA"/>
        </w:rPr>
      </w:pPr>
      <w:r w:rsidRPr="00464919">
        <w:rPr>
          <w:rFonts w:ascii="Arial" w:hAnsi="Arial" w:cs="Arial"/>
          <w:b/>
          <w:bCs/>
          <w:color w:val="000000"/>
          <w:lang w:val="en-CA"/>
        </w:rPr>
        <w:t xml:space="preserve">PART D: Challenges and Opportunities </w:t>
      </w:r>
    </w:p>
    <w:p w:rsidR="00464919" w:rsidRPr="00464919" w:rsidRDefault="00464919" w:rsidP="00464919">
      <w:pPr>
        <w:autoSpaceDE w:val="0"/>
        <w:autoSpaceDN w:val="0"/>
        <w:adjustRightInd w:val="0"/>
        <w:spacing w:after="0" w:line="240" w:lineRule="auto"/>
        <w:rPr>
          <w:rFonts w:ascii="Arial" w:hAnsi="Arial" w:cs="Arial"/>
          <w:color w:val="000000"/>
          <w:lang w:val="en-CA"/>
        </w:rPr>
      </w:pPr>
    </w:p>
    <w:p w:rsidR="00464919" w:rsidRDefault="00464919" w:rsidP="00464919">
      <w:pPr>
        <w:rPr>
          <w:rFonts w:ascii="Arial" w:hAnsi="Arial" w:cs="Arial"/>
          <w:color w:val="000000"/>
          <w:lang w:val="en-CA"/>
        </w:rPr>
      </w:pPr>
      <w:r w:rsidRPr="00464919">
        <w:rPr>
          <w:rFonts w:ascii="Arial" w:hAnsi="Arial" w:cs="Arial"/>
          <w:color w:val="000000"/>
          <w:lang w:val="en-CA"/>
        </w:rPr>
        <w:t>Other than what has been outlined in the section above, outline any challenges and opportunities/successes, as well as best practices that have been discovered to date in developing and implementing the institutional equity, diversity and inclusion action plan (limit: 500 words):</w:t>
      </w:r>
    </w:p>
    <w:tbl>
      <w:tblPr>
        <w:tblStyle w:val="TableGrid"/>
        <w:tblW w:w="0" w:type="auto"/>
        <w:tblLook w:val="04A0" w:firstRow="1" w:lastRow="0" w:firstColumn="1" w:lastColumn="0" w:noHBand="0" w:noVBand="1"/>
      </w:tblPr>
      <w:tblGrid>
        <w:gridCol w:w="9576"/>
      </w:tblGrid>
      <w:tr w:rsidR="00464919" w:rsidTr="00464919">
        <w:tc>
          <w:tcPr>
            <w:tcW w:w="9576" w:type="dxa"/>
          </w:tcPr>
          <w:p w:rsidR="00464919" w:rsidRDefault="00464919" w:rsidP="00464919"/>
          <w:p w:rsidR="00464919" w:rsidRDefault="00FA5B89" w:rsidP="00464919">
            <w:r>
              <w:t>RMC has consistently met or surpassed the required level of FDG representation. RMC will be challenged however to receive authority to seek external candidates given the financial scrutiny the university is under. Such authority may impede the timely engagement of new faculty.</w:t>
            </w:r>
          </w:p>
          <w:p w:rsidR="00464919" w:rsidRDefault="00464919" w:rsidP="00464919"/>
          <w:p w:rsidR="00464919" w:rsidRDefault="00464919" w:rsidP="00464919"/>
        </w:tc>
      </w:tr>
    </w:tbl>
    <w:p w:rsidR="00464919" w:rsidRDefault="00464919" w:rsidP="00464919"/>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p w:rsidR="00FA5B89" w:rsidRDefault="00FA5B89" w:rsidP="002E433D">
      <w:pPr>
        <w:autoSpaceDE w:val="0"/>
        <w:autoSpaceDN w:val="0"/>
        <w:adjustRightInd w:val="0"/>
        <w:spacing w:after="0" w:line="240" w:lineRule="auto"/>
        <w:rPr>
          <w:rFonts w:ascii="Arial" w:hAnsi="Arial" w:cs="Arial"/>
          <w:b/>
          <w:bCs/>
          <w:color w:val="000000"/>
          <w:lang w:val="en-CA"/>
        </w:rPr>
      </w:pPr>
    </w:p>
    <w:sectPr w:rsidR="00FA5B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076" w:rsidRDefault="00ED2076" w:rsidP="00026307">
      <w:pPr>
        <w:spacing w:after="0" w:line="240" w:lineRule="auto"/>
      </w:pPr>
      <w:r>
        <w:separator/>
      </w:r>
    </w:p>
  </w:endnote>
  <w:endnote w:type="continuationSeparator" w:id="0">
    <w:p w:rsidR="00ED2076" w:rsidRDefault="00ED2076" w:rsidP="0002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6A" w:rsidRDefault="003A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48044"/>
      <w:docPartObj>
        <w:docPartGallery w:val="Page Numbers (Bottom of Page)"/>
        <w:docPartUnique/>
      </w:docPartObj>
    </w:sdtPr>
    <w:sdtEndPr/>
    <w:sdtContent>
      <w:sdt>
        <w:sdtPr>
          <w:id w:val="860082579"/>
          <w:docPartObj>
            <w:docPartGallery w:val="Page Numbers (Top of Page)"/>
            <w:docPartUnique/>
          </w:docPartObj>
        </w:sdtPr>
        <w:sdtEndPr/>
        <w:sdtContent>
          <w:p w:rsidR="003A416A" w:rsidRDefault="003A41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68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683C">
              <w:rPr>
                <w:b/>
                <w:bCs/>
                <w:noProof/>
              </w:rPr>
              <w:t>5</w:t>
            </w:r>
            <w:r>
              <w:rPr>
                <w:b/>
                <w:bCs/>
                <w:sz w:val="24"/>
                <w:szCs w:val="24"/>
              </w:rPr>
              <w:fldChar w:fldCharType="end"/>
            </w:r>
          </w:p>
        </w:sdtContent>
      </w:sdt>
    </w:sdtContent>
  </w:sdt>
  <w:p w:rsidR="00026307" w:rsidRPr="00026307" w:rsidRDefault="00026307">
    <w:pPr>
      <w:pStyle w:val="Footer"/>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6A" w:rsidRDefault="003A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076" w:rsidRDefault="00ED2076" w:rsidP="00026307">
      <w:pPr>
        <w:spacing w:after="0" w:line="240" w:lineRule="auto"/>
      </w:pPr>
      <w:r>
        <w:separator/>
      </w:r>
    </w:p>
  </w:footnote>
  <w:footnote w:type="continuationSeparator" w:id="0">
    <w:p w:rsidR="00ED2076" w:rsidRDefault="00ED2076" w:rsidP="0002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6A" w:rsidRDefault="003A4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07" w:rsidRDefault="0001683C">
    <w:pPr>
      <w:pStyle w:val="Header"/>
    </w:pPr>
    <w:r>
      <w:rPr>
        <w:noProof/>
        <w:lang w:val="en-CA" w:eastAsia="en-C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5pt;margin-top:0;width:247.5pt;height:19.5pt;z-index:251658240" o:allowincell="f">
          <v:imagedata r:id="rId1" o:title=""/>
          <w10:wrap type="topAndBottom"/>
        </v:shape>
        <o:OLEObject Type="Embed" ProgID="PBrush" ShapeID="_x0000_s2049" DrawAspect="Content" ObjectID="_1609749929"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6A" w:rsidRDefault="003A4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21A8"/>
    <w:multiLevelType w:val="hybridMultilevel"/>
    <w:tmpl w:val="8890A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541CA1"/>
    <w:multiLevelType w:val="hybridMultilevel"/>
    <w:tmpl w:val="130AC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315DE6"/>
    <w:multiLevelType w:val="hybridMultilevel"/>
    <w:tmpl w:val="05D89D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855CB3"/>
    <w:multiLevelType w:val="hybridMultilevel"/>
    <w:tmpl w:val="F92CD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F2E121A"/>
    <w:multiLevelType w:val="hybridMultilevel"/>
    <w:tmpl w:val="1FDA306C"/>
    <w:lvl w:ilvl="0" w:tplc="4B2E8D66">
      <w:start w:val="1"/>
      <w:numFmt w:val="decimal"/>
      <w:lvlText w:val="%1)"/>
      <w:lvlJc w:val="left"/>
      <w:pPr>
        <w:ind w:left="480" w:hanging="360"/>
      </w:pPr>
      <w:rPr>
        <w:rFonts w:cs="Times New Roman" w:hint="default"/>
      </w:rPr>
    </w:lvl>
    <w:lvl w:ilvl="1" w:tplc="10090019" w:tentative="1">
      <w:start w:val="1"/>
      <w:numFmt w:val="lowerLetter"/>
      <w:lvlText w:val="%2."/>
      <w:lvlJc w:val="left"/>
      <w:pPr>
        <w:ind w:left="1200" w:hanging="360"/>
      </w:pPr>
      <w:rPr>
        <w:rFonts w:cs="Times New Roman"/>
      </w:rPr>
    </w:lvl>
    <w:lvl w:ilvl="2" w:tplc="1009001B" w:tentative="1">
      <w:start w:val="1"/>
      <w:numFmt w:val="lowerRoman"/>
      <w:lvlText w:val="%3."/>
      <w:lvlJc w:val="right"/>
      <w:pPr>
        <w:ind w:left="1920" w:hanging="180"/>
      </w:pPr>
      <w:rPr>
        <w:rFonts w:cs="Times New Roman"/>
      </w:rPr>
    </w:lvl>
    <w:lvl w:ilvl="3" w:tplc="1009000F" w:tentative="1">
      <w:start w:val="1"/>
      <w:numFmt w:val="decimal"/>
      <w:lvlText w:val="%4."/>
      <w:lvlJc w:val="left"/>
      <w:pPr>
        <w:ind w:left="2640" w:hanging="360"/>
      </w:pPr>
      <w:rPr>
        <w:rFonts w:cs="Times New Roman"/>
      </w:rPr>
    </w:lvl>
    <w:lvl w:ilvl="4" w:tplc="10090019" w:tentative="1">
      <w:start w:val="1"/>
      <w:numFmt w:val="lowerLetter"/>
      <w:lvlText w:val="%5."/>
      <w:lvlJc w:val="left"/>
      <w:pPr>
        <w:ind w:left="3360" w:hanging="360"/>
      </w:pPr>
      <w:rPr>
        <w:rFonts w:cs="Times New Roman"/>
      </w:rPr>
    </w:lvl>
    <w:lvl w:ilvl="5" w:tplc="1009001B" w:tentative="1">
      <w:start w:val="1"/>
      <w:numFmt w:val="lowerRoman"/>
      <w:lvlText w:val="%6."/>
      <w:lvlJc w:val="right"/>
      <w:pPr>
        <w:ind w:left="4080" w:hanging="180"/>
      </w:pPr>
      <w:rPr>
        <w:rFonts w:cs="Times New Roman"/>
      </w:rPr>
    </w:lvl>
    <w:lvl w:ilvl="6" w:tplc="1009000F" w:tentative="1">
      <w:start w:val="1"/>
      <w:numFmt w:val="decimal"/>
      <w:lvlText w:val="%7."/>
      <w:lvlJc w:val="left"/>
      <w:pPr>
        <w:ind w:left="4800" w:hanging="360"/>
      </w:pPr>
      <w:rPr>
        <w:rFonts w:cs="Times New Roman"/>
      </w:rPr>
    </w:lvl>
    <w:lvl w:ilvl="7" w:tplc="10090019" w:tentative="1">
      <w:start w:val="1"/>
      <w:numFmt w:val="lowerLetter"/>
      <w:lvlText w:val="%8."/>
      <w:lvlJc w:val="left"/>
      <w:pPr>
        <w:ind w:left="5520" w:hanging="360"/>
      </w:pPr>
      <w:rPr>
        <w:rFonts w:cs="Times New Roman"/>
      </w:rPr>
    </w:lvl>
    <w:lvl w:ilvl="8" w:tplc="1009001B" w:tentative="1">
      <w:start w:val="1"/>
      <w:numFmt w:val="lowerRoman"/>
      <w:lvlText w:val="%9."/>
      <w:lvlJc w:val="right"/>
      <w:pPr>
        <w:ind w:left="624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1F"/>
    <w:rsid w:val="0001683C"/>
    <w:rsid w:val="00026307"/>
    <w:rsid w:val="00082F7E"/>
    <w:rsid w:val="001E0DF6"/>
    <w:rsid w:val="002E433D"/>
    <w:rsid w:val="0037053C"/>
    <w:rsid w:val="00380C4A"/>
    <w:rsid w:val="00394577"/>
    <w:rsid w:val="003A416A"/>
    <w:rsid w:val="00464919"/>
    <w:rsid w:val="00562285"/>
    <w:rsid w:val="005D5479"/>
    <w:rsid w:val="00602E47"/>
    <w:rsid w:val="0065191B"/>
    <w:rsid w:val="00681E48"/>
    <w:rsid w:val="006B442F"/>
    <w:rsid w:val="006C1029"/>
    <w:rsid w:val="007A7236"/>
    <w:rsid w:val="007C3CC0"/>
    <w:rsid w:val="007D651E"/>
    <w:rsid w:val="008028F4"/>
    <w:rsid w:val="0086205A"/>
    <w:rsid w:val="009107E2"/>
    <w:rsid w:val="009E1713"/>
    <w:rsid w:val="00AA0A05"/>
    <w:rsid w:val="00AC6101"/>
    <w:rsid w:val="00B1061D"/>
    <w:rsid w:val="00C0681F"/>
    <w:rsid w:val="00D32607"/>
    <w:rsid w:val="00ED2076"/>
    <w:rsid w:val="00FA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2A400"/>
  <w15:docId w15:val="{995D85E0-E3B7-4CDF-943C-8F739A76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81F"/>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026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307"/>
  </w:style>
  <w:style w:type="paragraph" w:styleId="Footer">
    <w:name w:val="footer"/>
    <w:basedOn w:val="Normal"/>
    <w:link w:val="FooterChar"/>
    <w:uiPriority w:val="99"/>
    <w:unhideWhenUsed/>
    <w:rsid w:val="00026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307"/>
  </w:style>
  <w:style w:type="paragraph" w:styleId="BalloonText">
    <w:name w:val="Balloon Text"/>
    <w:basedOn w:val="Normal"/>
    <w:link w:val="BalloonTextChar"/>
    <w:uiPriority w:val="99"/>
    <w:semiHidden/>
    <w:unhideWhenUsed/>
    <w:rsid w:val="00026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307"/>
    <w:rPr>
      <w:rFonts w:ascii="Tahoma" w:hAnsi="Tahoma" w:cs="Tahoma"/>
      <w:sz w:val="16"/>
      <w:szCs w:val="16"/>
    </w:rPr>
  </w:style>
  <w:style w:type="table" w:styleId="TableGrid">
    <w:name w:val="Table Grid"/>
    <w:basedOn w:val="TableNormal"/>
    <w:uiPriority w:val="59"/>
    <w:rsid w:val="0056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33D"/>
    <w:rPr>
      <w:color w:val="0000FF" w:themeColor="hyperlink"/>
      <w:u w:val="single"/>
    </w:rPr>
  </w:style>
  <w:style w:type="paragraph" w:styleId="ListParagraph">
    <w:name w:val="List Paragraph"/>
    <w:basedOn w:val="Normal"/>
    <w:uiPriority w:val="34"/>
    <w:qFormat/>
    <w:rsid w:val="009E1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NSERC - SSHRC</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Raja Abaab</cp:lastModifiedBy>
  <cp:revision>2</cp:revision>
  <dcterms:created xsi:type="dcterms:W3CDTF">2019-01-23T16:59:00Z</dcterms:created>
  <dcterms:modified xsi:type="dcterms:W3CDTF">2019-01-23T16:59:00Z</dcterms:modified>
</cp:coreProperties>
</file>